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DBBD4E">
      <w:pPr>
        <w:pStyle w:val="2"/>
        <w:tabs>
          <w:tab w:val="left" w:pos="4890"/>
        </w:tabs>
        <w:spacing w:line="540" w:lineRule="exact"/>
        <w:rPr>
          <w:rFonts w:ascii="黑体" w:hAnsi="黑体" w:eastAsia="黑体" w:cs="黑体"/>
          <w:bCs/>
          <w:color w:val="000000"/>
          <w:w w:val="96"/>
          <w:sz w:val="32"/>
          <w:szCs w:val="32"/>
        </w:rPr>
      </w:pPr>
      <w:bookmarkStart w:id="1" w:name="_GoBack"/>
      <w:bookmarkEnd w:id="1"/>
      <w:r>
        <w:rPr>
          <w:rFonts w:hint="eastAsia" w:ascii="黑体" w:hAnsi="黑体" w:eastAsia="黑体" w:cs="黑体"/>
          <w:bCs/>
          <w:color w:val="000000"/>
          <w:w w:val="96"/>
          <w:sz w:val="32"/>
          <w:szCs w:val="32"/>
        </w:rPr>
        <w:t>鄯善县第十八届人民代表大会</w:t>
      </w:r>
    </w:p>
    <w:p w14:paraId="572036C2">
      <w:pPr>
        <w:pStyle w:val="2"/>
        <w:tabs>
          <w:tab w:val="left" w:pos="4890"/>
        </w:tabs>
        <w:spacing w:line="540" w:lineRule="exact"/>
        <w:rPr>
          <w:rFonts w:ascii="黑体" w:hAnsi="黑体" w:eastAsia="黑体" w:cs="黑体"/>
          <w:bCs/>
          <w:color w:val="000000"/>
          <w:w w:val="96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w w:val="90"/>
          <w:sz w:val="32"/>
          <w:szCs w:val="32"/>
        </w:rPr>
        <w:t>常务委员会第十四次</w:t>
      </w:r>
      <w:r>
        <w:rPr>
          <w:rFonts w:hint="eastAsia" w:ascii="黑体" w:hAnsi="黑体" w:eastAsia="黑体" w:cs="仿宋_GB2312"/>
          <w:bCs/>
          <w:color w:val="000000"/>
          <w:w w:val="90"/>
          <w:sz w:val="32"/>
          <w:szCs w:val="32"/>
        </w:rPr>
        <w:t>会议材料</w:t>
      </w:r>
    </w:p>
    <w:p w14:paraId="775F34E9">
      <w:pPr>
        <w:jc w:val="center"/>
        <w:rPr>
          <w:rFonts w:ascii="方正小标宋简体" w:hAnsi="宋体" w:eastAsia="方正小标宋简体" w:cs="宋体"/>
          <w:b/>
          <w:bCs/>
          <w:sz w:val="36"/>
          <w:szCs w:val="36"/>
        </w:rPr>
      </w:pPr>
    </w:p>
    <w:p w14:paraId="63DCE8A6">
      <w:pPr>
        <w:jc w:val="center"/>
        <w:rPr>
          <w:rFonts w:ascii="方正小标宋简体" w:hAnsi="宋体" w:eastAsia="方正小标宋简体" w:cs="宋体"/>
          <w:b/>
          <w:bCs/>
          <w:sz w:val="36"/>
          <w:szCs w:val="36"/>
        </w:rPr>
      </w:pPr>
    </w:p>
    <w:p w14:paraId="0F707AF7">
      <w:pPr>
        <w:spacing w:line="560" w:lineRule="exact"/>
        <w:jc w:val="center"/>
        <w:rPr>
          <w:rFonts w:ascii="方正小标宋简体" w:hAnsi="宋体" w:eastAsia="方正小标宋简体" w:cs="宋体"/>
          <w:b/>
          <w:bCs/>
          <w:sz w:val="44"/>
          <w:szCs w:val="44"/>
        </w:rPr>
      </w:pPr>
      <w:r>
        <w:rPr>
          <w:rFonts w:hint="eastAsia" w:ascii="方正小标宋简体" w:hAnsi="宋体" w:eastAsia="方正小标宋简体" w:cs="宋体"/>
          <w:b/>
          <w:bCs/>
          <w:sz w:val="44"/>
          <w:szCs w:val="44"/>
        </w:rPr>
        <w:t>关于2022年鄯善县财政决算(草案)的报告</w:t>
      </w:r>
    </w:p>
    <w:p w14:paraId="7AE7DDF3">
      <w:pPr>
        <w:spacing w:line="500" w:lineRule="exact"/>
        <w:jc w:val="center"/>
        <w:rPr>
          <w:rFonts w:ascii="楷体_GB2312" w:hAnsi="楷体_GB2312" w:eastAsia="楷体_GB2312" w:cs="楷体_GB2312"/>
          <w:b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</w:rPr>
        <w:t>（在鄯善县第十八届人民代表大会常务委员会</w:t>
      </w:r>
    </w:p>
    <w:p w14:paraId="0FBDCD8C">
      <w:pPr>
        <w:spacing w:line="500" w:lineRule="exact"/>
        <w:jc w:val="center"/>
        <w:rPr>
          <w:rFonts w:ascii="楷体_GB2312" w:hAnsi="楷体_GB2312" w:eastAsia="楷体_GB2312" w:cs="楷体_GB2312"/>
          <w:b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</w:rPr>
        <w:t>第十四次会议上）</w:t>
      </w:r>
    </w:p>
    <w:p w14:paraId="187143FE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240544AC">
      <w:pPr>
        <w:spacing w:line="560" w:lineRule="exact"/>
        <w:rPr>
          <w:rFonts w:ascii="黑体" w:hAnsi="宋体" w:eastAsia="黑体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主任、副主任、各位委员</w:t>
      </w:r>
      <w:r>
        <w:rPr>
          <w:rFonts w:hint="eastAsia" w:ascii="黑体" w:hAnsi="宋体" w:eastAsia="黑体"/>
          <w:color w:val="000000" w:themeColor="text1"/>
          <w:sz w:val="32"/>
          <w:szCs w:val="32"/>
        </w:rPr>
        <w:t>：</w:t>
      </w:r>
    </w:p>
    <w:p w14:paraId="4F8653D4">
      <w:pPr>
        <w:spacing w:line="560" w:lineRule="exact"/>
        <w:ind w:firstLine="800" w:firstLineChars="250"/>
        <w:rPr>
          <w:rFonts w:ascii="仿宋_GB2312" w:hAnsi="宋体" w:eastAsia="仿宋_GB2312"/>
          <w:color w:val="000000" w:themeColor="text1"/>
          <w:sz w:val="32"/>
          <w:szCs w:val="32"/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我受鄯善县人民政府的委托，向本次人大常委会作《关于2022年鄯善县财政决算的报告》，请予以审议，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并请各位委员提出意见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</w:rPr>
        <w:t>。</w:t>
      </w:r>
    </w:p>
    <w:p w14:paraId="665543A6">
      <w:pPr>
        <w:adjustRightInd w:val="0"/>
        <w:snapToGrid w:val="0"/>
        <w:spacing w:line="560" w:lineRule="exact"/>
        <w:ind w:firstLine="800" w:firstLineChars="250"/>
        <w:rPr>
          <w:rFonts w:ascii="仿宋_GB2312" w:hAnsi="仿宋_GB2312" w:eastAsia="仿宋_GB2312" w:cs="仿宋_GB2312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2022年是党和国家历史上极为重要的一年，党的二十大胜利召开，描绘了全面建设社会主义现代化国家的宏伟蓝图。</w:t>
      </w:r>
      <w:r>
        <w:rPr>
          <w:rFonts w:hint="eastAsia" w:ascii="仿宋_GB2312" w:hAnsi="Calibri" w:eastAsia="仿宋_GB2312"/>
          <w:color w:val="000000" w:themeColor="text1"/>
          <w:sz w:val="32"/>
          <w:szCs w:val="32"/>
        </w:rPr>
        <w:t>财政部门在</w:t>
      </w:r>
      <w:r>
        <w:rPr>
          <w:rFonts w:hint="eastAsia" w:ascii="仿宋_GB2312" w:hAnsi="Calibri" w:eastAsia="仿宋_GB2312"/>
          <w:color w:val="000000" w:themeColor="text1"/>
          <w:sz w:val="32"/>
          <w:szCs w:val="32"/>
          <w:lang w:eastAsia="zh-CN"/>
        </w:rPr>
        <w:t>县委、县政府</w:t>
      </w:r>
      <w:r>
        <w:rPr>
          <w:rFonts w:hint="eastAsia" w:ascii="仿宋_GB2312" w:hAnsi="Calibri" w:eastAsia="仿宋_GB2312"/>
          <w:color w:val="000000" w:themeColor="text1"/>
          <w:sz w:val="32"/>
          <w:szCs w:val="32"/>
        </w:rPr>
        <w:t>的坚强领导下，在人大、政协和社会各界的监督支持下，坚持以习近平新时代中国特色社会主义思想为指导，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完整准确贯彻新时代党的治疆方略，紧紧围绕社会稳定和长治久安总目标，扎实做好“六稳”“六保”工作，</w:t>
      </w:r>
      <w:r>
        <w:rPr>
          <w:rFonts w:hint="eastAsia" w:ascii="仿宋_GB2312" w:hAnsi="Calibri" w:eastAsia="仿宋_GB2312"/>
          <w:color w:val="000000" w:themeColor="text1"/>
          <w:sz w:val="32"/>
          <w:szCs w:val="32"/>
        </w:rPr>
        <w:t>坚持稳中求进工作总基调，立足新发展阶段，坚持新发展理念，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统筹经济发展和社会安全，</w:t>
      </w:r>
      <w:r>
        <w:rPr>
          <w:rFonts w:hint="eastAsia" w:ascii="仿宋_GB2312" w:hAnsi="Calibri" w:eastAsia="仿宋_GB2312"/>
          <w:color w:val="000000" w:themeColor="text1"/>
          <w:sz w:val="32"/>
          <w:szCs w:val="32"/>
        </w:rPr>
        <w:t>落实积极的财政政策，依法加强税费征管，创新财政资金直达机制，严格落实政府过紧日子要求，大力压减一般性支出，不断加强民生支出保障，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全力推动全县经济高质量发展，国民经济保持向好发展态势，经济运行总体表现平稳</w:t>
      </w:r>
      <w:r>
        <w:rPr>
          <w:rFonts w:hint="eastAsia" w:ascii="仿宋_GB2312" w:hAnsi="Calibri" w:eastAsia="仿宋_GB2312"/>
          <w:color w:val="000000" w:themeColor="text1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根据《预算法》等有关规定，重点报告以下情况。</w:t>
      </w:r>
    </w:p>
    <w:p w14:paraId="7AA5F74D">
      <w:pPr>
        <w:snapToGrid w:val="0"/>
        <w:spacing w:line="560" w:lineRule="exact"/>
        <w:ind w:firstLine="640" w:firstLineChars="200"/>
        <w:rPr>
          <w:rFonts w:ascii="黑体" w:hAnsi="黑体" w:eastAsia="黑体" w:cs="黑体"/>
          <w:bCs/>
          <w:color w:val="000000" w:themeColor="text1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</w:rPr>
        <w:t>一、2022年财政收支决算情况</w:t>
      </w:r>
    </w:p>
    <w:p w14:paraId="0E33BCAF">
      <w:pPr>
        <w:snapToGrid w:val="0"/>
        <w:spacing w:line="560" w:lineRule="exact"/>
        <w:ind w:firstLine="640" w:firstLineChars="200"/>
        <w:rPr>
          <w:rFonts w:ascii="黑体" w:hAnsi="黑体" w:eastAsia="黑体" w:cs="黑体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2022年鄯善县财政收入总额434477万元，其中：地方本级财政收入227996万元（一般公共预算收入178124万元，政府性基金收入49872万元）,上级补助收入167719万元，政府债券转贷收入16000万元，调入资金20158万元，上年结余2604万元；财政支出总额427376万元，其中:一般公共预算支出311627万元,政府性基金支出28878万元，国有资本经营支出19万元，债务还本支出30526万元，上解上级支出36168万元，调出资金20158万元；年终结余7101万元。</w:t>
      </w:r>
    </w:p>
    <w:p w14:paraId="478A7B9D">
      <w:pPr>
        <w:spacing w:line="560" w:lineRule="exact"/>
        <w:ind w:firstLine="640" w:firstLineChars="200"/>
        <w:rPr>
          <w:rFonts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（一）地方本级一般公共预算收支情况</w:t>
      </w:r>
    </w:p>
    <w:p w14:paraId="1C16BACD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3" w:firstLineChars="200"/>
        <w:jc w:val="both"/>
        <w:rPr>
          <w:rFonts w:ascii="仿宋_GB2312" w:hAnsi="仿宋_GB2312" w:eastAsia="仿宋_GB2312" w:cs="仿宋_GB2312"/>
          <w:b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kern w:val="2"/>
          <w:sz w:val="32"/>
          <w:szCs w:val="32"/>
        </w:rPr>
        <w:t>1、一般公共预算收入决算情况</w:t>
      </w:r>
    </w:p>
    <w:p w14:paraId="061F190B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一般公共预算收入178124万元，完成预算的93.34%，同比增长0.8%，增收1418万元，其中：税收收入完成99912万元，同比下降6.89%，减收7399万元。主要是2022年受留抵退税因素影响，2022年鄯善县本级增值税</w:t>
      </w: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  <w:lang w:eastAsia="zh-CN"/>
        </w:rPr>
        <w:t>留抵退税</w:t>
      </w: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21034万元；非税收入完成78212万元，同比增长12.71%，增收8817万元、主要是国有资产出租、出借收入增加。详见附表1。</w:t>
      </w:r>
    </w:p>
    <w:p w14:paraId="7A3DEEF5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一般公共预算收入具体明细如下：</w:t>
      </w:r>
    </w:p>
    <w:p w14:paraId="35671003">
      <w:pPr>
        <w:snapToGrid w:val="0"/>
        <w:spacing w:line="560" w:lineRule="exact"/>
        <w:ind w:firstLine="640" w:firstLineChars="200"/>
        <w:rPr>
          <w:rFonts w:ascii="仿宋_GB2312" w:hAns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税收收入完成99912万元，完成预算的69.80%，同比下降6.89%，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减收7399万元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。其中：</w:t>
      </w:r>
    </w:p>
    <w:p w14:paraId="14E8F675">
      <w:pPr>
        <w:snapToGrid w:val="0"/>
        <w:spacing w:line="560" w:lineRule="exact"/>
        <w:ind w:firstLine="640" w:firstLineChars="200"/>
        <w:rPr>
          <w:rFonts w:ascii="仿宋_GB2312" w:hAns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（1）增值税31112万元，完成预算的58.47%，同比下降22.00%，减收8773万元。</w:t>
      </w:r>
    </w:p>
    <w:p w14:paraId="50C83B8A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（2）企业所得税29233万元，完成预算的99.01%，同比增长32.08%，增收7101万元。</w:t>
      </w:r>
    </w:p>
    <w:p w14:paraId="285FEBAA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（3）个人所得税2862万元，完成预算的84.90%，同比增长13.26%，增收335万元。</w:t>
      </w:r>
    </w:p>
    <w:p w14:paraId="2991C590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（4）资源税7121万元，完成预算的47.71%，同比下降36.36%，减收4068万元。</w:t>
      </w:r>
    </w:p>
    <w:p w14:paraId="170E4267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（5）城市维护建设税4316万元，完成预算的79.93%，同比增长6.59%，增收267万元。</w:t>
      </w:r>
    </w:p>
    <w:p w14:paraId="4C59CBE4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（6）房产税4733万元，完成预算的79.39%，同比增长5.91%，增收264万元。</w:t>
      </w:r>
    </w:p>
    <w:p w14:paraId="2D66B07F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（7）印花税2899万元，完成预算的95.14%，同比增长26.93%，增收615万元。</w:t>
      </w:r>
    </w:p>
    <w:p w14:paraId="027535FA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（8）城镇土地使用税14560万元，完成预算的65.01%，同比下降13.43%，减收2258万元。</w:t>
      </w:r>
    </w:p>
    <w:p w14:paraId="36B6EB5A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（9）土地增值税421万元，完成预算的45.66%，同比下降39.07%，减收270万元。</w:t>
      </w:r>
    </w:p>
    <w:p w14:paraId="375D56F3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（10）车船税1624万元，完成预算的69.49%，同比下降7.31%，减收128万元。</w:t>
      </w:r>
    </w:p>
    <w:p w14:paraId="4E49CE81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（11）耕地占用税57万元，完成预算的7.58%，同比下降89.89%，减收507万元。</w:t>
      </w:r>
    </w:p>
    <w:p w14:paraId="633DFD75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（12）契税974万元，完成预算的76.03%，同比增长1.46%，增收14万元。</w:t>
      </w:r>
    </w:p>
    <w:p w14:paraId="2E64B139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（13）其他税收收入0万元。</w:t>
      </w:r>
    </w:p>
    <w:p w14:paraId="5B02607F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非税收入完成78212万元，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完成预算的163.93%，同比增长12.71%，增收8817万元。其中：</w:t>
      </w:r>
    </w:p>
    <w:p w14:paraId="44F0D088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（1）专项收入8309万元，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完成预算的100.83%，同比下降30.73%，减收3686万元。主要是指教育费附加、地方教育费附加、残疾人保障金收入等。</w:t>
      </w:r>
    </w:p>
    <w:p w14:paraId="6A457713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（2）行政事业性收费收入2956万元，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完成预算的326.99%，同比增长124.62%，增收1640万元。</w:t>
      </w:r>
    </w:p>
    <w:p w14:paraId="18A14601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（3）罚没收入5401万元，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完成预算的255.37%，同比增长75.59%，增收2325万元。</w:t>
      </w:r>
    </w:p>
    <w:p w14:paraId="717EE33D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（4）国有资源（资产）有偿使用收入61338万元，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完成预算的170.62%，同比增长17.33%，增收9058万元。</w:t>
      </w:r>
    </w:p>
    <w:p w14:paraId="267F6BB6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（5）其他收入108万元，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完成预算的23.03%，同比下降84.19%，减收575万元。</w:t>
      </w:r>
    </w:p>
    <w:p w14:paraId="321FA7B6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（6）政府住房基金收入0万元，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完成预算的0%，同比下降100%，减收25万元。</w:t>
      </w:r>
    </w:p>
    <w:p w14:paraId="3AD60191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（7）捐赠收入100万元。</w:t>
      </w:r>
    </w:p>
    <w:p w14:paraId="06EC7E63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3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/>
          <w:b/>
          <w:color w:val="000000" w:themeColor="text1"/>
          <w:sz w:val="32"/>
          <w:szCs w:val="32"/>
        </w:rPr>
        <w:t>2、一般公共预算支出决算情况</w:t>
      </w:r>
    </w:p>
    <w:p w14:paraId="3FB747B6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一般公共预算支出311627万元，完成预算的98.09%，同比增长0.26%，增支804万元。</w:t>
      </w:r>
    </w:p>
    <w:p w14:paraId="61A49502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一般公共预算支出具体明细如下：</w:t>
      </w:r>
    </w:p>
    <w:p w14:paraId="77C69945">
      <w:pPr>
        <w:snapToGrid w:val="0"/>
        <w:spacing w:line="560" w:lineRule="exact"/>
        <w:ind w:firstLine="640" w:firstLineChars="200"/>
        <w:rPr>
          <w:rFonts w:ascii="仿宋_GB2312" w:hAns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（1）一般公共服务支出42379万元，完成预算的100%，同比增长14.52%，增支5374万元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，占一般公共预算支出的13.6%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。</w:t>
      </w:r>
    </w:p>
    <w:p w14:paraId="34B24FDE">
      <w:pPr>
        <w:snapToGrid w:val="0"/>
        <w:spacing w:line="560" w:lineRule="exact"/>
        <w:ind w:firstLine="640" w:firstLineChars="200"/>
        <w:rPr>
          <w:rFonts w:ascii="仿宋_GB2312" w:hAns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（2）公共安全支出27151万元，完成预算的99.33%，同比增长1.76%，增支470万元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，占一般公共预算支出的8.71%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。</w:t>
      </w:r>
    </w:p>
    <w:p w14:paraId="505BCD02">
      <w:pPr>
        <w:snapToGrid w:val="0"/>
        <w:spacing w:line="560" w:lineRule="exact"/>
        <w:ind w:firstLine="640" w:firstLineChars="200"/>
        <w:rPr>
          <w:rFonts w:ascii="仿宋_GB2312" w:hAns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（3）教育支出72364万元，完成预算的98.18%，同比增长4.39%，增支3044万元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，占一般公共预算支出的23.22%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。</w:t>
      </w:r>
    </w:p>
    <w:p w14:paraId="0C55350F">
      <w:pPr>
        <w:snapToGrid w:val="0"/>
        <w:spacing w:line="560" w:lineRule="exact"/>
        <w:ind w:firstLine="640" w:firstLineChars="200"/>
        <w:rPr>
          <w:rFonts w:ascii="仿宋_GB2312" w:hAns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（4）科学技术支出517万元，完成预算的99.04%， 同比增长2.58%，增支13万元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，占一般公共预算支出的0.17%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。</w:t>
      </w:r>
    </w:p>
    <w:p w14:paraId="2FF3A89F">
      <w:pPr>
        <w:snapToGrid w:val="0"/>
        <w:spacing w:line="560" w:lineRule="exact"/>
        <w:ind w:firstLine="640" w:firstLineChars="200"/>
        <w:rPr>
          <w:rFonts w:ascii="仿宋_GB2312" w:hAns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（5）文化旅游体育与传媒支出2764万元，完成预算的100%，同比增长4.34%，增支115万元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，占一般公共预算支出的0.89%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。</w:t>
      </w:r>
    </w:p>
    <w:p w14:paraId="596110E6">
      <w:pPr>
        <w:snapToGrid w:val="0"/>
        <w:spacing w:line="560" w:lineRule="exact"/>
        <w:ind w:firstLine="640" w:firstLineChars="200"/>
        <w:rPr>
          <w:rFonts w:ascii="仿宋_GB2312" w:hAns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（6）社会保障和就业支出31339万元，完成预算的99.52%，同比增长7.40%，增支2158万元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，占一般公共预算支出的10.06%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。</w:t>
      </w:r>
    </w:p>
    <w:p w14:paraId="0BA7445E">
      <w:pPr>
        <w:snapToGrid w:val="0"/>
        <w:spacing w:line="560" w:lineRule="exact"/>
        <w:ind w:firstLine="640" w:firstLineChars="200"/>
        <w:rPr>
          <w:rFonts w:ascii="仿宋_GB2312" w:hAns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（7）卫生健康支出30981万元，完成预算的99.86%，同比增长24.73%，增支6143万元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，占一般公共预算支出的9.94%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。</w:t>
      </w:r>
    </w:p>
    <w:p w14:paraId="1A604233">
      <w:pPr>
        <w:snapToGrid w:val="0"/>
        <w:spacing w:line="560" w:lineRule="exact"/>
        <w:ind w:firstLine="640" w:firstLineChars="200"/>
        <w:rPr>
          <w:rFonts w:ascii="仿宋_GB2312" w:hAns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（8）节能环保支出1712万元，完成预算的72.33%，同比下降56.97%，减支2267万元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，占一般公共预算支出的0.55%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。</w:t>
      </w:r>
    </w:p>
    <w:p w14:paraId="3373159F">
      <w:pPr>
        <w:snapToGrid w:val="0"/>
        <w:spacing w:line="560" w:lineRule="exact"/>
        <w:ind w:firstLine="640" w:firstLineChars="200"/>
        <w:rPr>
          <w:rFonts w:ascii="仿宋_GB2312" w:hAns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（9）城乡社区支出12656万元，完成预算的100%，同比下降78.25%，减支45538万元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，占一般公共预算支出的4.06%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。</w:t>
      </w:r>
    </w:p>
    <w:p w14:paraId="0DE2527F">
      <w:pPr>
        <w:snapToGrid w:val="0"/>
        <w:spacing w:line="560" w:lineRule="exact"/>
        <w:ind w:firstLine="640" w:firstLineChars="200"/>
        <w:rPr>
          <w:rFonts w:ascii="仿宋_GB2312" w:hAns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（10）农林水支出27581万元。完成预算的95.53%，同比增长54.19%，增支9693万元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，占一般公共预算支出的8.85%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。</w:t>
      </w:r>
    </w:p>
    <w:p w14:paraId="4F2862C5">
      <w:pPr>
        <w:snapToGrid w:val="0"/>
        <w:spacing w:line="560" w:lineRule="exact"/>
        <w:ind w:firstLine="640" w:firstLineChars="200"/>
        <w:rPr>
          <w:rFonts w:ascii="仿宋_GB2312" w:hAns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（11）交通运输支出2155万元,完成预算51.33%，同比下降32.97%，减支1060万元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，占一般公共预算支出的0.69%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。</w:t>
      </w:r>
    </w:p>
    <w:p w14:paraId="2BEDEFA7">
      <w:pPr>
        <w:snapToGrid w:val="0"/>
        <w:spacing w:line="560" w:lineRule="exact"/>
        <w:ind w:firstLine="640" w:firstLineChars="200"/>
        <w:rPr>
          <w:rFonts w:ascii="仿宋_GB2312" w:hAns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（12）资源勘探工业信息等支出1113万元,完成预算的100%，同比下降84.36%，减支6005万元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，占一般公共预算支出的0.36%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。</w:t>
      </w:r>
    </w:p>
    <w:p w14:paraId="6F0FBE1D">
      <w:pPr>
        <w:snapToGrid w:val="0"/>
        <w:spacing w:line="560" w:lineRule="exact"/>
        <w:ind w:firstLine="640" w:firstLineChars="200"/>
        <w:rPr>
          <w:rFonts w:ascii="仿宋_GB2312" w:hAns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（13）商业服务业等支出777万元，完成预算的100%，同比增长52.35%，增支267万元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，占一般公共预算支出的0.25%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。</w:t>
      </w:r>
    </w:p>
    <w:p w14:paraId="21CA7202">
      <w:pPr>
        <w:snapToGrid w:val="0"/>
        <w:spacing w:line="560" w:lineRule="exact"/>
        <w:ind w:firstLine="640" w:firstLineChars="200"/>
        <w:rPr>
          <w:rFonts w:ascii="仿宋_GB2312" w:hAns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（14）金融支出0万元，完成预算的0%。</w:t>
      </w:r>
    </w:p>
    <w:p w14:paraId="5CA6857F">
      <w:pPr>
        <w:snapToGrid w:val="0"/>
        <w:spacing w:line="560" w:lineRule="exact"/>
        <w:ind w:firstLine="640" w:firstLineChars="200"/>
        <w:rPr>
          <w:rFonts w:ascii="仿宋_GB2312" w:hAns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（15）自然资源海洋气象等支出946万元，完成预算的100%，同比下降13.76%，减支151万元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，占一般公共预算支出的0.30%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。</w:t>
      </w:r>
    </w:p>
    <w:p w14:paraId="1901ACA1">
      <w:pPr>
        <w:snapToGrid w:val="0"/>
        <w:spacing w:line="560" w:lineRule="exact"/>
        <w:ind w:firstLine="640" w:firstLineChars="200"/>
        <w:rPr>
          <w:rFonts w:ascii="仿宋_GB2312" w:hAns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（16）住房保障支出42189万元，完成预算的100%，同比增长143.56%，增支24867万元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，占一般公共预算支出的13.54%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。</w:t>
      </w:r>
    </w:p>
    <w:p w14:paraId="0D230C23">
      <w:pPr>
        <w:snapToGrid w:val="0"/>
        <w:spacing w:line="560" w:lineRule="exact"/>
        <w:ind w:firstLine="640" w:firstLineChars="200"/>
        <w:rPr>
          <w:rFonts w:ascii="仿宋_GB2312" w:hAns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（17）粮油物资储备支出0万元，完成预算的0%，同比下降100 %，减支61万元。</w:t>
      </w:r>
    </w:p>
    <w:p w14:paraId="670A8806">
      <w:pPr>
        <w:snapToGrid w:val="0"/>
        <w:spacing w:line="560" w:lineRule="exact"/>
        <w:ind w:firstLine="640" w:firstLineChars="200"/>
        <w:rPr>
          <w:rFonts w:ascii="仿宋_GB2312" w:hAns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（18）灾害防治及应急管理支出1064万元，完成预算的74.93%，同比下降14.74%，减支184万元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，占一般公共预算支出的0.34%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。</w:t>
      </w:r>
    </w:p>
    <w:p w14:paraId="69D82122">
      <w:pPr>
        <w:snapToGrid w:val="0"/>
        <w:spacing w:line="560" w:lineRule="exact"/>
        <w:ind w:firstLine="640" w:firstLineChars="200"/>
        <w:rPr>
          <w:rFonts w:ascii="仿宋_GB2312" w:hAns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（19）其它支出3724万元，完成预算的100%，同比增长100%，增支3512万元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，占一般公共预算支出的1.20%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。</w:t>
      </w:r>
    </w:p>
    <w:p w14:paraId="050D6D10">
      <w:pPr>
        <w:snapToGrid w:val="0"/>
        <w:spacing w:line="560" w:lineRule="exact"/>
        <w:ind w:firstLine="640" w:firstLineChars="200"/>
        <w:rPr>
          <w:rFonts w:ascii="仿宋_GB2312" w:hAns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（20）债务付息支出10198万元，完成预算的100%，同比增长5.31%，增支514万元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，占一般公共预算支出的3.27%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。</w:t>
      </w:r>
    </w:p>
    <w:p w14:paraId="1DB73758">
      <w:pPr>
        <w:snapToGrid w:val="0"/>
        <w:spacing w:line="560" w:lineRule="exact"/>
        <w:ind w:firstLine="640" w:firstLineChars="200"/>
        <w:rPr>
          <w:rFonts w:ascii="仿宋_GB2312" w:hAns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（21）债务发行费支出17万元，完成预算的100%，同比下降73.85%，减支48万元。</w:t>
      </w:r>
    </w:p>
    <w:p w14:paraId="24AEF401">
      <w:pPr>
        <w:spacing w:line="560" w:lineRule="exact"/>
        <w:ind w:firstLine="640" w:firstLineChars="200"/>
        <w:rPr>
          <w:rFonts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（二）2022年政府性基金预算收支决算情况</w:t>
      </w:r>
    </w:p>
    <w:p w14:paraId="5A44C0E3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3" w:firstLineChars="200"/>
        <w:jc w:val="both"/>
        <w:rPr>
          <w:rFonts w:ascii="仿宋_GB2312" w:hAnsi="仿宋_GB2312" w:eastAsia="仿宋_GB2312" w:cs="仿宋_GB2312"/>
          <w:b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kern w:val="2"/>
          <w:sz w:val="32"/>
          <w:szCs w:val="32"/>
        </w:rPr>
        <w:t>1、政府性基金收入决算情况</w:t>
      </w:r>
    </w:p>
    <w:p w14:paraId="0B11C126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政府性基金收入49872万元，完成预算的99.74%，同比增长52.93%，增收17260万元。详见附表3。</w:t>
      </w:r>
    </w:p>
    <w:p w14:paraId="76A29EB9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政府性基金收入具体明细如下：</w:t>
      </w:r>
    </w:p>
    <w:p w14:paraId="1B0367F4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（1） 城市基础设施配套费收入2076万元，完成预算的100%，同比增长1.71%，增收35万元。</w:t>
      </w:r>
    </w:p>
    <w:p w14:paraId="4C8C708A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（2）国有土地使用权出让金收入22196万元，完成预算的99.43%，同比下降24.28%，减收7118万元。</w:t>
      </w:r>
    </w:p>
    <w:p w14:paraId="5BBF5B15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（3）专项债务对应项目专项收入25600万元，完成预算的100%，同比增长100%，增收25334万元。</w:t>
      </w:r>
    </w:p>
    <w:p w14:paraId="2BCD5064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3" w:firstLineChars="200"/>
        <w:jc w:val="both"/>
        <w:rPr>
          <w:rFonts w:ascii="仿宋_GB2312" w:hAnsi="仿宋_GB2312" w:eastAsia="仿宋_GB2312" w:cs="仿宋_GB2312"/>
          <w:b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kern w:val="2"/>
          <w:sz w:val="32"/>
          <w:szCs w:val="32"/>
        </w:rPr>
        <w:t>2、政府性基金支出决算情况</w:t>
      </w:r>
    </w:p>
    <w:p w14:paraId="7C6AF33E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政府性基金支出28878万元，完成预算的96.95%，同比下降69.23%，减支64973万元。详见附表4</w:t>
      </w:r>
    </w:p>
    <w:p w14:paraId="75A8EB93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政府性基金支出具体明细如下：</w:t>
      </w:r>
    </w:p>
    <w:p w14:paraId="7F5D07CB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（1）社会保障和就业支出109万元，完成预算的22.61%，同比增长100%，增支68万元，占政府性基金预算支出的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0.38%</w:t>
      </w: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。</w:t>
      </w:r>
    </w:p>
    <w:p w14:paraId="49EA126E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（2）城乡社区事务支出14653万元，完成预算的100%，同比增长100%，增支11911万元，占政府性基金预算支出的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50.74%</w:t>
      </w: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。</w:t>
      </w:r>
    </w:p>
    <w:p w14:paraId="7048175F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（3）其他支出305万元，完成预算的31.67%，同比下降99.61%，减支78785万元，占政府性基金预算支出的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1.06%</w:t>
      </w: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。减支的原因是上年专项债券支出7.9亿元，本年无。</w:t>
      </w:r>
    </w:p>
    <w:p w14:paraId="51CDFE73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（4）债务付息支出13811万元，完成预算的100%，同比增长16.12%，增支1917万元，占政府性基金预算支出的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47.83%</w:t>
      </w: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。</w:t>
      </w:r>
    </w:p>
    <w:p w14:paraId="14C15CB9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（5）债务发行费用支出0万元。</w:t>
      </w:r>
    </w:p>
    <w:p w14:paraId="70960A41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楷体_GB2312" w:hAnsi="楷体_GB2312" w:eastAsia="楷体_GB2312" w:cs="楷体_GB2312"/>
          <w:bCs/>
          <w:kern w:val="2"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kern w:val="2"/>
          <w:sz w:val="32"/>
          <w:szCs w:val="32"/>
        </w:rPr>
        <w:t>（三）2022年国有资本经营预算收支决算情况</w:t>
      </w:r>
    </w:p>
    <w:p w14:paraId="63350535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3" w:firstLineChars="200"/>
        <w:jc w:val="both"/>
        <w:rPr>
          <w:rFonts w:ascii="仿宋_GB2312" w:hAnsi="仿宋_GB2312" w:eastAsia="仿宋_GB2312" w:cs="仿宋_GB2312"/>
          <w:b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kern w:val="2"/>
          <w:sz w:val="32"/>
          <w:szCs w:val="32"/>
        </w:rPr>
        <w:t>1、国有资本经营预算收入决算情况</w:t>
      </w:r>
    </w:p>
    <w:p w14:paraId="1089D244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国有资本经营预算</w:t>
      </w: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收入0万元。详见附表6。</w:t>
      </w:r>
    </w:p>
    <w:p w14:paraId="42B101FA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3" w:firstLineChars="200"/>
        <w:jc w:val="both"/>
        <w:rPr>
          <w:rFonts w:ascii="仿宋_GB2312" w:hAnsi="仿宋_GB2312" w:eastAsia="仿宋_GB2312" w:cs="仿宋_GB2312"/>
          <w:b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kern w:val="2"/>
          <w:sz w:val="32"/>
          <w:szCs w:val="32"/>
        </w:rPr>
        <w:t>2、国有资本经营预算支出决算情况</w:t>
      </w:r>
    </w:p>
    <w:p w14:paraId="16DBFAE4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国有资本经营预算</w:t>
      </w: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支出19万元。</w:t>
      </w:r>
    </w:p>
    <w:p w14:paraId="7D225872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黑体" w:hAnsi="黑体" w:eastAsia="黑体" w:cs="黑体"/>
          <w:bCs/>
          <w:color w:val="000000" w:themeColor="text1"/>
          <w:kern w:val="2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 w:themeColor="text1"/>
          <w:kern w:val="2"/>
          <w:sz w:val="32"/>
          <w:szCs w:val="32"/>
        </w:rPr>
        <w:t>二</w:t>
      </w:r>
      <w:r>
        <w:rPr>
          <w:rFonts w:hint="eastAsia" w:ascii="黑体" w:hAnsi="黑体" w:eastAsia="黑体" w:cs="黑体"/>
          <w:bCs/>
          <w:color w:val="000000"/>
          <w:kern w:val="2"/>
          <w:sz w:val="32"/>
          <w:szCs w:val="32"/>
        </w:rPr>
        <w:t>、财政收支平衡情况</w:t>
      </w:r>
    </w:p>
    <w:p w14:paraId="538297A4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楷体_GB2312" w:hAnsi="楷体_GB2312" w:eastAsia="楷体_GB2312" w:cs="楷体_GB2312"/>
          <w:bCs/>
          <w:kern w:val="2"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kern w:val="2"/>
          <w:sz w:val="32"/>
          <w:szCs w:val="32"/>
        </w:rPr>
        <w:t>（一）一般公共预算收支平衡情况</w:t>
      </w:r>
    </w:p>
    <w:p w14:paraId="23A0AD03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2022年鄯善县一般公共预算收入总额383190万元，其中：地方本级一般公共预算收入178124万元，上级补助收入167355万元，地方政府一般债券转贷收入16000万元，调入资金20158万元，上年结转收入1553万元；一般公共预算支出总额377121万元，其中:一般公共预算支出311627万元，债务还本支出29326万元，上解上级支出36168万元；</w:t>
      </w:r>
      <w:r>
        <w:rPr>
          <w:rFonts w:hint="eastAsia" w:ascii="仿宋_GB2312" w:hAnsi="仿宋_GB2312" w:eastAsia="仿宋_GB2312" w:cs="仿宋_GB2312"/>
          <w:sz w:val="32"/>
          <w:szCs w:val="32"/>
        </w:rPr>
        <w:t>收支相抵后，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年终结余6069万元，一般</w:t>
      </w:r>
      <w:r>
        <w:rPr>
          <w:rFonts w:hint="eastAsia" w:ascii="仿宋_GB2312" w:hAnsi="仿宋_GB2312" w:eastAsia="仿宋_GB2312" w:cs="仿宋_GB2312"/>
          <w:sz w:val="32"/>
          <w:szCs w:val="32"/>
        </w:rPr>
        <w:t>公共财政预算收支达到平衡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。详见附表2。</w:t>
      </w:r>
    </w:p>
    <w:p w14:paraId="7BB71F16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楷体_GB2312" w:hAnsi="楷体_GB2312" w:eastAsia="楷体_GB2312" w:cs="楷体_GB2312"/>
          <w:bCs/>
          <w:kern w:val="2"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kern w:val="2"/>
          <w:sz w:val="32"/>
          <w:szCs w:val="32"/>
        </w:rPr>
        <w:t>（二）政府性基金收支平衡情况</w:t>
      </w:r>
    </w:p>
    <w:p w14:paraId="7C16DC65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政府性基金收入总额51268万元，其中:政府性基金收入49872万元，上级补助收入354万元，上年结转收入1042万元。政府性基金支出总额50236万元，其中：政府性基金支出28878万元，债务还本支出1200万元，调出资金20158万元；</w:t>
      </w:r>
      <w:r>
        <w:rPr>
          <w:rFonts w:hint="eastAsia" w:ascii="仿宋_GB2312" w:hAnsi="仿宋_GB2312" w:eastAsia="仿宋_GB2312" w:cs="仿宋_GB2312"/>
          <w:sz w:val="32"/>
          <w:szCs w:val="32"/>
        </w:rPr>
        <w:t>收支相抵后，</w:t>
      </w: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年终结余1032万元，政府性基金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预算收支达到平衡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。详见附表5。</w:t>
      </w:r>
    </w:p>
    <w:p w14:paraId="1AC781D8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楷体_GB2312" w:hAnsi="楷体_GB2312" w:eastAsia="楷体_GB2312" w:cs="楷体_GB2312"/>
          <w:bCs/>
          <w:kern w:val="2"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kern w:val="2"/>
          <w:sz w:val="32"/>
          <w:szCs w:val="32"/>
        </w:rPr>
        <w:t>（三）国有资本经营预算收支平衡情况</w:t>
      </w:r>
    </w:p>
    <w:p w14:paraId="631719AD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国有资本经营预算收入总额19万元，其中: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 xml:space="preserve"> 国有资本经营</w:t>
      </w: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预算收入0万元，上级补助收入10万元，上年结余9万元。支出总额19万元，其中：</w:t>
      </w:r>
      <w:r>
        <w:rPr>
          <w:rFonts w:hint="eastAsia" w:ascii="仿宋_GB2312" w:hAnsi="仿宋_GB2312" w:eastAsia="仿宋_GB2312"/>
          <w:color w:val="000000" w:themeColor="text1"/>
          <w:sz w:val="32"/>
          <w:szCs w:val="32"/>
        </w:rPr>
        <w:t>国有资本经营预算</w:t>
      </w: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支出19万元；</w:t>
      </w:r>
      <w:r>
        <w:rPr>
          <w:rFonts w:hint="eastAsia" w:ascii="仿宋_GB2312" w:hAnsi="仿宋_GB2312" w:eastAsia="仿宋_GB2312" w:cs="仿宋_GB2312"/>
          <w:sz w:val="32"/>
          <w:szCs w:val="32"/>
        </w:rPr>
        <w:t>收支相抵后，</w:t>
      </w: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</w:rPr>
        <w:t>年终结余0万元。详见附表6。</w:t>
      </w:r>
    </w:p>
    <w:p w14:paraId="66450D2A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黑体" w:hAnsi="黑体" w:eastAsia="黑体" w:cs="黑体"/>
          <w:bCs/>
          <w:color w:val="000000" w:themeColor="text1"/>
          <w:kern w:val="2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 w:themeColor="text1"/>
          <w:kern w:val="2"/>
          <w:sz w:val="32"/>
          <w:szCs w:val="32"/>
        </w:rPr>
        <w:t>三、2022年鄯善县社会保险基金预算收支决算情况</w:t>
      </w:r>
    </w:p>
    <w:p w14:paraId="4440E0DC"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2022年社会保险基金收入总额33509万元，同比下降23.46%，减收10272万元，其中：保险费收入22762万元，利息收入257万元，财政补贴收入7767万元,上级补助收入2531万元，其他收入105万元，转移收入68万元,委托投资收益19万元。2022年社会保险基金支出总额25910万元，下降51.72%，减支27761万元。当年年终结转结余7599万元，滚存结余36281万元。社会保险基金收支下降的主要原因是2022年</w:t>
      </w:r>
      <w:r>
        <w:rPr>
          <w:rFonts w:hint="eastAsia" w:ascii="仿宋_GB2312" w:hAnsi="仿宋" w:eastAsia="仿宋_GB2312" w:cs="仿宋"/>
          <w:sz w:val="32"/>
          <w:szCs w:val="32"/>
        </w:rPr>
        <w:t>城乡居民基本医疗保险由县级统筹改为市级统筹，2021年县级的全部结余基金18942万元上解市级财政专户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。详见附表7。</w:t>
      </w:r>
    </w:p>
    <w:p w14:paraId="37D2CB87">
      <w:pPr>
        <w:pStyle w:val="6"/>
        <w:shd w:val="clear" w:color="auto" w:fill="FFFFFF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rPr>
          <w:rFonts w:ascii="黑体" w:hAnsi="黑体" w:eastAsia="黑体" w:cs="黑体"/>
          <w:bCs/>
          <w:color w:val="000000" w:themeColor="text1"/>
          <w:kern w:val="2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 w:themeColor="text1"/>
          <w:kern w:val="2"/>
          <w:sz w:val="32"/>
          <w:szCs w:val="32"/>
        </w:rPr>
        <w:t>四、2022年鄯善县政府债务情况</w:t>
      </w:r>
    </w:p>
    <w:p w14:paraId="15662D26">
      <w:pPr>
        <w:adjustRightInd w:val="0"/>
        <w:snapToGrid w:val="0"/>
        <w:spacing w:line="500" w:lineRule="exact"/>
        <w:ind w:firstLine="640" w:firstLineChars="200"/>
        <w:rPr>
          <w:rFonts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（一）2022年度政府债务限额总体情况</w:t>
      </w:r>
    </w:p>
    <w:p w14:paraId="3BB70C0C">
      <w:pPr>
        <w:adjustRightInd w:val="0"/>
        <w:snapToGrid w:val="0"/>
        <w:spacing w:line="50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</w:rPr>
        <w:t>2022年度鄯善县政府债务限额总额为722857万元。</w:t>
      </w:r>
    </w:p>
    <w:p w14:paraId="547BBC67">
      <w:pPr>
        <w:adjustRightInd w:val="0"/>
        <w:snapToGrid w:val="0"/>
        <w:spacing w:line="500" w:lineRule="exact"/>
        <w:ind w:firstLine="643" w:firstLineChars="200"/>
        <w:rPr>
          <w:rFonts w:ascii="仿宋_GB2312" w:hAnsi="楷体_GB2312" w:eastAsia="仿宋_GB2312" w:cs="楷体_GB2312"/>
          <w:b/>
          <w:bCs/>
          <w:color w:val="000000" w:themeColor="text1"/>
          <w:sz w:val="32"/>
          <w:szCs w:val="32"/>
        </w:rPr>
      </w:pPr>
      <w:r>
        <w:rPr>
          <w:rFonts w:hint="eastAsia" w:ascii="仿宋_GB2312" w:hAnsi="楷体_GB2312" w:eastAsia="仿宋_GB2312" w:cs="楷体_GB2312"/>
          <w:b/>
          <w:bCs/>
          <w:color w:val="000000" w:themeColor="text1"/>
          <w:sz w:val="32"/>
          <w:szCs w:val="32"/>
        </w:rPr>
        <w:t>1、</w:t>
      </w:r>
      <w:r>
        <w:rPr>
          <w:rFonts w:hint="eastAsia" w:ascii="仿宋_GB2312" w:eastAsia="仿宋_GB2312"/>
          <w:b/>
          <w:bCs/>
          <w:color w:val="000000" w:themeColor="text1"/>
          <w:sz w:val="32"/>
          <w:szCs w:val="32"/>
        </w:rPr>
        <w:t>政府</w:t>
      </w:r>
      <w:r>
        <w:rPr>
          <w:rFonts w:hint="eastAsia" w:ascii="仿宋_GB2312" w:hAnsi="楷体_GB2312" w:eastAsia="仿宋_GB2312" w:cs="楷体_GB2312"/>
          <w:b/>
          <w:bCs/>
          <w:color w:val="000000" w:themeColor="text1"/>
          <w:sz w:val="32"/>
          <w:szCs w:val="32"/>
        </w:rPr>
        <w:t>债务限额分类型情况</w:t>
      </w:r>
    </w:p>
    <w:p w14:paraId="12838DFD">
      <w:pPr>
        <w:adjustRightInd w:val="0"/>
        <w:snapToGrid w:val="0"/>
        <w:spacing w:line="500" w:lineRule="exact"/>
        <w:ind w:firstLine="472" w:firstLineChars="147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 w:themeColor="text1"/>
          <w:sz w:val="32"/>
          <w:szCs w:val="32"/>
        </w:rPr>
        <w:t>（1）一般债务限额总额情况。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2022年度鄯善县政府一般债务限额总额341605万元 。</w:t>
      </w:r>
    </w:p>
    <w:p w14:paraId="7A6E70FB">
      <w:pPr>
        <w:adjustRightInd w:val="0"/>
        <w:snapToGrid w:val="0"/>
        <w:spacing w:line="500" w:lineRule="exact"/>
        <w:ind w:firstLine="472" w:firstLineChars="147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 w:themeColor="text1"/>
          <w:sz w:val="32"/>
          <w:szCs w:val="32"/>
        </w:rPr>
        <w:t>（2）专项债务限额总额情况。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2022年度鄯善县政府专项债务限额总额为381252万元。</w:t>
      </w:r>
    </w:p>
    <w:p w14:paraId="68F923ED">
      <w:pPr>
        <w:adjustRightInd w:val="0"/>
        <w:snapToGrid w:val="0"/>
        <w:spacing w:line="500" w:lineRule="exact"/>
        <w:ind w:firstLine="643" w:firstLineChars="200"/>
        <w:rPr>
          <w:rFonts w:ascii="仿宋_GB2312" w:hAnsi="楷体_GB2312" w:eastAsia="仿宋_GB2312" w:cs="楷体_GB2312"/>
          <w:b/>
          <w:bCs/>
          <w:color w:val="000000" w:themeColor="text1"/>
          <w:sz w:val="32"/>
          <w:szCs w:val="32"/>
        </w:rPr>
      </w:pPr>
      <w:r>
        <w:rPr>
          <w:rFonts w:hint="eastAsia" w:ascii="仿宋_GB2312" w:hAnsi="楷体_GB2312" w:eastAsia="仿宋_GB2312" w:cs="楷体_GB2312"/>
          <w:b/>
          <w:bCs/>
          <w:color w:val="000000" w:themeColor="text1"/>
          <w:sz w:val="32"/>
          <w:szCs w:val="32"/>
        </w:rPr>
        <w:t>2、新增债务限额情况</w:t>
      </w:r>
    </w:p>
    <w:p w14:paraId="53AA3756">
      <w:pPr>
        <w:adjustRightInd w:val="0"/>
        <w:snapToGrid w:val="0"/>
        <w:spacing w:line="500" w:lineRule="exact"/>
        <w:ind w:firstLine="472" w:firstLineChars="147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 w:themeColor="text1"/>
          <w:sz w:val="32"/>
          <w:szCs w:val="32"/>
        </w:rPr>
        <w:t>（1）新增一般债务限额情况。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2022年度鄯善县政府新增一般债务限额总额0万元 。</w:t>
      </w:r>
    </w:p>
    <w:p w14:paraId="1816B486">
      <w:pPr>
        <w:adjustRightInd w:val="0"/>
        <w:snapToGrid w:val="0"/>
        <w:spacing w:line="500" w:lineRule="exact"/>
        <w:ind w:firstLine="315" w:firstLineChars="98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 w:themeColor="text1"/>
          <w:sz w:val="32"/>
          <w:szCs w:val="32"/>
        </w:rPr>
        <w:t>（2）新增专项债务限额情况。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2022年度鄯善县政府新增专项债务限额总额为0万元 。</w:t>
      </w:r>
    </w:p>
    <w:p w14:paraId="1DECD8BC">
      <w:pPr>
        <w:adjustRightInd w:val="0"/>
        <w:snapToGrid w:val="0"/>
        <w:spacing w:line="500" w:lineRule="exact"/>
        <w:ind w:firstLine="640" w:firstLineChars="200"/>
        <w:rPr>
          <w:rFonts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（二）2022年度政府债务余额情况</w:t>
      </w:r>
    </w:p>
    <w:p w14:paraId="3F6CAE26">
      <w:pPr>
        <w:adjustRightInd w:val="0"/>
        <w:snapToGrid w:val="0"/>
        <w:spacing w:line="50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</w:rPr>
        <w:t>2022年度鄯善县政府债务余额决算数为664037万元，政府债务余额全部严格控制在限额722857万元内 。</w:t>
      </w:r>
    </w:p>
    <w:p w14:paraId="30EBD01F">
      <w:pPr>
        <w:adjustRightInd w:val="0"/>
        <w:snapToGrid w:val="0"/>
        <w:spacing w:line="500" w:lineRule="exact"/>
        <w:ind w:firstLine="630" w:firstLineChars="196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楷体_GB2312" w:eastAsia="仿宋_GB2312" w:cs="楷体_GB2312"/>
          <w:b/>
          <w:bCs/>
          <w:color w:val="000000" w:themeColor="text1"/>
          <w:sz w:val="32"/>
          <w:szCs w:val="32"/>
        </w:rPr>
        <w:t>1、一般债务余额决算数。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2022年度鄯善县政府一般债务余额决算数为287799万元。</w:t>
      </w:r>
    </w:p>
    <w:p w14:paraId="620576E2">
      <w:pPr>
        <w:adjustRightInd w:val="0"/>
        <w:snapToGrid w:val="0"/>
        <w:spacing w:line="500" w:lineRule="exact"/>
        <w:ind w:firstLine="643" w:firstLineChars="20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楷体_GB2312" w:eastAsia="仿宋_GB2312" w:cs="楷体_GB2312"/>
          <w:b/>
          <w:bCs/>
          <w:color w:val="000000" w:themeColor="text1"/>
          <w:sz w:val="32"/>
          <w:szCs w:val="32"/>
        </w:rPr>
        <w:t>2、专项债务余额决算数。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2022年度鄯善县政府专项债务余额决算数为376238万元 。</w:t>
      </w:r>
    </w:p>
    <w:p w14:paraId="58494113">
      <w:pPr>
        <w:adjustRightInd w:val="0"/>
        <w:snapToGrid w:val="0"/>
        <w:spacing w:line="500" w:lineRule="exact"/>
        <w:ind w:firstLine="640" w:firstLineChars="200"/>
        <w:rPr>
          <w:rFonts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（三）2022年度政府债券发行使用情况</w:t>
      </w:r>
    </w:p>
    <w:p w14:paraId="610F0D38">
      <w:pPr>
        <w:adjustRightInd w:val="0"/>
        <w:snapToGrid w:val="0"/>
        <w:spacing w:line="50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</w:rPr>
        <w:t>2022年度鄯善县发行政府债券16000万元，其中：新增债券0万元、再融资债券16000万元。</w:t>
      </w:r>
    </w:p>
    <w:p w14:paraId="0F118DA5">
      <w:pPr>
        <w:adjustRightInd w:val="0"/>
        <w:snapToGrid w:val="0"/>
        <w:spacing w:line="500" w:lineRule="exact"/>
        <w:ind w:firstLine="643" w:firstLineChars="20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楷体_GB2312" w:eastAsia="仿宋_GB2312" w:cs="楷体_GB2312"/>
          <w:b/>
          <w:bCs/>
          <w:color w:val="000000" w:themeColor="text1"/>
          <w:sz w:val="32"/>
          <w:szCs w:val="32"/>
        </w:rPr>
        <w:t>1、再融资债券发行使用情况。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2022年度鄯善县发行再融资债券16000万元，其中：再融资一般债券16000万元，再融资专项债券0万元 。全部用于偿还到期政府债券本金，债券期限分别是5年、7年、10年期，债券平均利率为2.86%。</w:t>
      </w:r>
    </w:p>
    <w:p w14:paraId="0ECE7F98">
      <w:pPr>
        <w:adjustRightInd w:val="0"/>
        <w:snapToGrid w:val="0"/>
        <w:spacing w:line="500" w:lineRule="exact"/>
        <w:ind w:firstLine="640" w:firstLineChars="200"/>
        <w:rPr>
          <w:rFonts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（四）2022年度政府债券还本付息情况</w:t>
      </w:r>
    </w:p>
    <w:p w14:paraId="61BA93A5">
      <w:pPr>
        <w:adjustRightInd w:val="0"/>
        <w:snapToGrid w:val="0"/>
        <w:spacing w:line="520" w:lineRule="exact"/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2022年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鄯善县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</w:rPr>
        <w:t>政府债务还本付息总额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54535万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，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</w:rPr>
        <w:t>其中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：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</w:rPr>
        <w:t>财政预算安排还本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14526万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</w:rPr>
        <w:t>元、再融资债券用于还本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16000万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</w:rPr>
        <w:t>元、财政预算安排付息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24009万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</w:rPr>
        <w:t>元。</w:t>
      </w:r>
    </w:p>
    <w:p w14:paraId="3717B64F">
      <w:pPr>
        <w:adjustRightInd w:val="0"/>
        <w:snapToGrid w:val="0"/>
        <w:spacing w:line="520" w:lineRule="exact"/>
        <w:ind w:firstLine="643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楷体_GB2312" w:eastAsia="仿宋_GB2312" w:cs="楷体_GB2312"/>
          <w:b/>
          <w:bCs/>
          <w:color w:val="000000" w:themeColor="text1"/>
          <w:sz w:val="32"/>
          <w:szCs w:val="32"/>
        </w:rPr>
        <w:t>1、</w:t>
      </w:r>
      <w:r>
        <w:rPr>
          <w:rFonts w:ascii="仿宋_GB2312" w:hAnsi="楷体_GB2312" w:eastAsia="仿宋_GB2312" w:cs="楷体_GB2312"/>
          <w:b/>
          <w:bCs/>
          <w:color w:val="000000" w:themeColor="text1"/>
          <w:sz w:val="32"/>
          <w:szCs w:val="32"/>
        </w:rPr>
        <w:t>一般债务还本付息情况</w:t>
      </w:r>
      <w:r>
        <w:rPr>
          <w:rFonts w:hint="eastAsia" w:ascii="仿宋_GB2312" w:hAnsi="楷体_GB2312" w:eastAsia="仿宋_GB2312" w:cs="楷体_GB2312"/>
          <w:b/>
          <w:bCs/>
          <w:color w:val="000000" w:themeColor="text1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2022年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</w:rPr>
        <w:t>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鄯善县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</w:rPr>
        <w:t>政府一般债务还本付息总额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39524万元，其中：财政预算安排还本13326万元，再融资债券用于还本16000万元，财政预算安排付息10198元。</w:t>
      </w:r>
    </w:p>
    <w:p w14:paraId="54EDED21">
      <w:pPr>
        <w:adjustRightInd w:val="0"/>
        <w:snapToGrid w:val="0"/>
        <w:spacing w:line="520" w:lineRule="exact"/>
        <w:ind w:firstLine="643" w:firstLineChars="20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hAnsi="楷体_GB2312" w:eastAsia="仿宋_GB2312" w:cs="楷体_GB2312"/>
          <w:b/>
          <w:bCs/>
          <w:color w:val="000000" w:themeColor="text1"/>
          <w:sz w:val="32"/>
          <w:szCs w:val="32"/>
        </w:rPr>
        <w:t>2、专项债券还本付息情况。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2022年度鄯善县政府专项债券还本付息总额15011万元，其中：财政预算安排还本1200万元，财政预算安排付息13811万元。</w:t>
      </w:r>
    </w:p>
    <w:p w14:paraId="29833549">
      <w:pPr>
        <w:spacing w:line="56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五、2022年财政工作主要情况</w:t>
      </w:r>
    </w:p>
    <w:p w14:paraId="26F022D7">
      <w:pPr>
        <w:spacing w:line="560" w:lineRule="exact"/>
        <w:ind w:firstLine="640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按照县委决策部署，</w:t>
      </w:r>
      <w:r>
        <w:rPr>
          <w:rFonts w:hint="eastAsia" w:ascii="仿宋_GB2312" w:hAnsi="仿宋_GB2312" w:eastAsia="仿宋_GB2312"/>
          <w:bCs/>
          <w:sz w:val="32"/>
          <w:szCs w:val="32"/>
        </w:rPr>
        <w:t>认真落实党的二十大会议有</w:t>
      </w:r>
      <w:r>
        <w:rPr>
          <w:rFonts w:hint="eastAsia" w:ascii="仿宋_GB2312" w:hAnsi="仿宋_GB2312" w:eastAsia="仿宋_GB2312"/>
          <w:bCs/>
          <w:kern w:val="0"/>
          <w:sz w:val="32"/>
          <w:szCs w:val="32"/>
        </w:rPr>
        <w:t>关决议，</w:t>
      </w:r>
      <w:r>
        <w:rPr>
          <w:rFonts w:hint="eastAsia" w:ascii="仿宋_GB2312" w:eastAsia="仿宋_GB2312"/>
          <w:bCs/>
          <w:sz w:val="32"/>
          <w:szCs w:val="32"/>
        </w:rPr>
        <w:t>贯彻新发展理念，积极组织财政收入，调整优化支出结构，坚决打好“三大攻坚战”，严守“保工资、保运转、保基本民生、保稳定、</w:t>
      </w:r>
      <w:r>
        <w:rPr>
          <w:rFonts w:hint="eastAsia" w:ascii="仿宋_GB2312" w:hAnsi="仿宋_GB2312" w:eastAsia="仿宋_GB2312"/>
          <w:bCs/>
          <w:kern w:val="0"/>
          <w:sz w:val="32"/>
          <w:szCs w:val="32"/>
        </w:rPr>
        <w:t>保重点建设</w:t>
      </w:r>
      <w:r>
        <w:rPr>
          <w:rFonts w:hint="eastAsia" w:ascii="仿宋_GB2312" w:eastAsia="仿宋_GB2312"/>
          <w:bCs/>
          <w:sz w:val="32"/>
          <w:szCs w:val="32"/>
        </w:rPr>
        <w:t>”的支出原则，实施全面预算绩效管理、</w:t>
      </w:r>
      <w:r>
        <w:rPr>
          <w:rFonts w:hint="eastAsia" w:ascii="仿宋_GB2312" w:hAnsi="仿宋_GB2312" w:eastAsia="仿宋_GB2312"/>
          <w:bCs/>
          <w:kern w:val="0"/>
          <w:sz w:val="32"/>
          <w:szCs w:val="32"/>
        </w:rPr>
        <w:t>着力抓好预算执行，全力化解收支矛盾。财政收支实现双增长，有力保证了各项基本支出和重点民生支出需要。</w:t>
      </w:r>
    </w:p>
    <w:p w14:paraId="39DEBDD5"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（一）高质量推进收入征管，提高财政保障能力。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认真落实国家出台的各项减税降费政策，切实减轻企业负担，支持实体经济发展。积极开展税收收入征管，不断挖掘增收潜力，做到依法依规征收，应收尽收；加强非税收入管理，积极落实降费政策，坚决剔除收入中不合理部分，杜绝虚收空转，确保形成可支配财力。为各项基本支出、重点民生支出、各项重点支出需要提供了坚强财力保障。</w:t>
      </w:r>
    </w:p>
    <w:p w14:paraId="4D08844B"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（二）在政策研判上再精准，积极争取各类资金。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加大对一般性转移支付增量资金的争取力度，增加县级财政可用资金。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尽力争取中央预算内等专项资金，切实改善生产基础设施条件，提高群众人居环境质量和幸福指数。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</w:rPr>
        <w:t>认真研究地方政府债券政策，努力做好政府性债券资金申请、使用和管理工作。</w:t>
      </w:r>
    </w:p>
    <w:p w14:paraId="0C29D922">
      <w:pPr>
        <w:spacing w:line="560" w:lineRule="exact"/>
        <w:ind w:firstLine="640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（三）加大民生保障力度，增强人民福祉。</w:t>
      </w:r>
      <w:r>
        <w:rPr>
          <w:rFonts w:hint="eastAsia" w:ascii="仿宋_GB2312" w:hAnsi="仿宋_GB2312" w:eastAsia="仿宋_GB2312" w:cs="仿宋_GB2312"/>
          <w:sz w:val="32"/>
          <w:szCs w:val="32"/>
        </w:rPr>
        <w:t>坚持科学理财，不断优化财政支出结构，始终把保障和改善民生放在财政工作首位，积极筹措资金，确保财政资金在公共安全、教育、卫生健康、社会保障、农林水利、环保科技等民生项目方面投入持续增长。2022年民生领域投入226287万元，占一般公共预算支出的72.62%。</w:t>
      </w:r>
    </w:p>
    <w:p w14:paraId="1AEE6A2F">
      <w:pPr>
        <w:spacing w:line="560" w:lineRule="exact"/>
        <w:ind w:firstLine="640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（四）全力以赴抓改革，实现财政管理的精细化和规范化。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继续深化预算改革，实施公开透明的预决算制度。在预算编制、下达、资金审批、内控管理等方面严格落实预算法和预算管理制度，改进预算编制、执行流程，取得较好效果。将政府预决算、部门预决算、“三公”经费、上级转移支付、扶贫资金等事项在政府门户网站进行公开，主动接受社会各界监督，保障人民群众的知情权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提升预算监管的广度和深度。进一步建立健全部门预算从编制到执行的各项管理规定，提高预算执行的均衡性、安全性、时效性。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</w:rPr>
        <w:t>不断深化政府采购改革。依法规范采购行为，提高工作效率，节约财政资金。2022年通过政采云网上超市和在线询价完成订单数1580笔，达成交易额5392.25万元，同比去年平台交易额提升9倍；公开招标、竞争性谈判、竞争性磋商共计82笔，共计采购预算23190.83万元，实际采购金额21493.89万元，节约率 7.3%。</w:t>
      </w:r>
    </w:p>
    <w:p w14:paraId="04640F59">
      <w:pPr>
        <w:spacing w:line="560" w:lineRule="exact"/>
        <w:ind w:firstLine="640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（五）规范政府债务管理，妥善化解政府隐性债务。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进一步明确政府举债边界范围，严禁违法违规担保承诺，防止形成新的隐性债务，妥善消化存量债务，坚决打好防范化解重大风险攻坚战。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加强地方政府债券资金管理。做好新增债券申报、转贷、管理使用工作，确保债券资金使用安全、有效。2022年我县共收到自治区转贷地方政府再融资债券16000万元。</w:t>
      </w:r>
    </w:p>
    <w:p w14:paraId="10E8D898">
      <w:pPr>
        <w:spacing w:line="560" w:lineRule="exact"/>
        <w:ind w:firstLine="640" w:firstLineChars="200"/>
        <w:rPr>
          <w:rFonts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（六）做好“六稳”工作，落实“六保”任务。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优先保障“三保”预算。2022年“三保”累计支出164186万元，其中“保工资”支出114179万元；“保运转”支出4606万元；“保民生”支出45401万元。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从严控制一般性支出和“三公”经费支出；在统筹保障刚性支出的前提下，严格按照“先生活，后生产”的原则调整支出结构，压减一般性支出。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</w:rPr>
        <w:t>落实帮扶政策。中小微企业和个体工商户房屋租金减免政策方面，对承租国有资产经营用房的中小微企业、个体工商户123户减免租金总额共计141.08万元。</w:t>
      </w:r>
    </w:p>
    <w:p w14:paraId="62B0385F">
      <w:pPr>
        <w:spacing w:line="560" w:lineRule="exact"/>
        <w:ind w:firstLine="640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bookmarkStart w:id="0" w:name="OLE_LINK1"/>
      <w:r>
        <w:rPr>
          <w:rFonts w:hint="eastAsia" w:ascii="楷体_GB2312" w:hAnsi="楷体_GB2312" w:eastAsia="楷体_GB2312" w:cs="楷体_GB2312"/>
          <w:bCs/>
          <w:sz w:val="32"/>
          <w:szCs w:val="32"/>
        </w:rPr>
        <w:t>（七）巩固脱贫攻坚成果与乡村振兴有效衔接，确保项目顺利实施。</w:t>
      </w:r>
      <w:r>
        <w:rPr>
          <w:rFonts w:hint="eastAsia" w:ascii="仿宋_GB2312" w:hAnsi="仿宋_GB2312" w:eastAsia="仿宋_GB2312" w:cs="仿宋_GB2312"/>
          <w:sz w:val="32"/>
          <w:szCs w:val="32"/>
        </w:rPr>
        <w:t>做好脱贫攻坚与乡村振兴有效衔接。发挥政府主体和主导作用，继续加大脱贫攻坚完成后的资金投入力度，用好上级专项资金，与乡村振兴有效衔接，做到“脱贫不脱政策”。2022年</w:t>
      </w:r>
      <w:r>
        <w:rPr>
          <w:rFonts w:ascii="仿宋_GB2312" w:hAnsi="仿宋_GB2312" w:eastAsia="仿宋_GB2312" w:cs="仿宋_GB2312"/>
          <w:sz w:val="32"/>
          <w:szCs w:val="32"/>
        </w:rPr>
        <w:t>全县到位</w:t>
      </w:r>
      <w:r>
        <w:rPr>
          <w:rFonts w:hint="eastAsia" w:ascii="仿宋_GB2312" w:hAnsi="仿宋_GB2312" w:eastAsia="仿宋_GB2312" w:cs="仿宋_GB2312"/>
          <w:sz w:val="32"/>
          <w:szCs w:val="32"/>
        </w:rPr>
        <w:t>乡村振兴衔接项目</w:t>
      </w:r>
      <w:r>
        <w:rPr>
          <w:rFonts w:ascii="仿宋_GB2312" w:hAnsi="仿宋_GB2312" w:eastAsia="仿宋_GB2312" w:cs="仿宋_GB2312"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12616.93</w:t>
      </w:r>
      <w:r>
        <w:rPr>
          <w:rFonts w:ascii="仿宋_GB2312" w:hAnsi="仿宋_GB2312" w:eastAsia="仿宋_GB2312" w:cs="仿宋_GB2312"/>
          <w:sz w:val="32"/>
          <w:szCs w:val="32"/>
        </w:rPr>
        <w:t>万元，其中：中央财政</w:t>
      </w:r>
      <w:r>
        <w:rPr>
          <w:rFonts w:hint="eastAsia" w:ascii="仿宋_GB2312" w:hAnsi="仿宋_GB2312" w:eastAsia="仿宋_GB2312" w:cs="仿宋_GB2312"/>
          <w:sz w:val="32"/>
          <w:szCs w:val="32"/>
        </w:rPr>
        <w:t>衔接</w:t>
      </w:r>
      <w:r>
        <w:rPr>
          <w:rFonts w:ascii="仿宋_GB2312" w:hAnsi="仿宋_GB2312" w:eastAsia="仿宋_GB2312" w:cs="仿宋_GB2312"/>
          <w:sz w:val="32"/>
          <w:szCs w:val="32"/>
        </w:rPr>
        <w:t>专项资金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7798</w:t>
      </w:r>
      <w:r>
        <w:rPr>
          <w:rFonts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ascii="仿宋_GB2312" w:hAnsi="仿宋_GB2312" w:eastAsia="仿宋_GB2312" w:cs="仿宋_GB2312"/>
          <w:sz w:val="32"/>
          <w:szCs w:val="32"/>
        </w:rPr>
        <w:t>自治区财政</w:t>
      </w:r>
      <w:r>
        <w:rPr>
          <w:rFonts w:hint="eastAsia" w:ascii="仿宋_GB2312" w:hAnsi="仿宋_GB2312" w:eastAsia="仿宋_GB2312" w:cs="仿宋_GB2312"/>
          <w:sz w:val="32"/>
          <w:szCs w:val="32"/>
        </w:rPr>
        <w:t>衔接</w:t>
      </w:r>
      <w:r>
        <w:rPr>
          <w:rFonts w:ascii="仿宋_GB2312" w:hAnsi="仿宋_GB2312" w:eastAsia="仿宋_GB2312" w:cs="仿宋_GB2312"/>
          <w:sz w:val="32"/>
          <w:szCs w:val="32"/>
        </w:rPr>
        <w:t>专项资金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4214</w:t>
      </w:r>
      <w:r>
        <w:rPr>
          <w:rFonts w:ascii="仿宋_GB2312" w:hAnsi="仿宋_GB2312" w:eastAsia="仿宋_GB2312" w:cs="仿宋_GB2312"/>
          <w:sz w:val="32"/>
          <w:szCs w:val="32"/>
        </w:rPr>
        <w:t>万元，吐鲁番市安排</w:t>
      </w:r>
      <w:r>
        <w:rPr>
          <w:rFonts w:hint="eastAsia" w:ascii="仿宋_GB2312" w:hAnsi="仿宋_GB2312" w:eastAsia="仿宋_GB2312" w:cs="仿宋_GB2312"/>
          <w:sz w:val="32"/>
          <w:szCs w:val="32"/>
        </w:rPr>
        <w:t>衔接</w:t>
      </w:r>
      <w:r>
        <w:rPr>
          <w:rFonts w:ascii="仿宋_GB2312" w:hAnsi="仿宋_GB2312" w:eastAsia="仿宋_GB2312" w:cs="仿宋_GB2312"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550</w:t>
      </w:r>
      <w:r>
        <w:rPr>
          <w:rFonts w:ascii="仿宋_GB2312" w:hAnsi="仿宋_GB2312" w:eastAsia="仿宋_GB2312" w:cs="仿宋_GB2312"/>
          <w:sz w:val="32"/>
          <w:szCs w:val="32"/>
        </w:rPr>
        <w:t>万元,县级配套资金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54.93</w:t>
      </w:r>
      <w:r>
        <w:rPr>
          <w:rFonts w:ascii="仿宋_GB2312" w:hAnsi="仿宋_GB2312" w:eastAsia="仿宋_GB2312" w:cs="仿宋_GB2312"/>
          <w:sz w:val="32"/>
          <w:szCs w:val="32"/>
        </w:rPr>
        <w:t>万元。安排实施</w:t>
      </w:r>
      <w:r>
        <w:rPr>
          <w:rFonts w:hint="eastAsia" w:ascii="仿宋_GB2312" w:hAnsi="仿宋_GB2312" w:eastAsia="仿宋_GB2312" w:cs="仿宋_GB2312"/>
          <w:sz w:val="32"/>
          <w:szCs w:val="32"/>
        </w:rPr>
        <w:t>61</w:t>
      </w:r>
      <w:r>
        <w:rPr>
          <w:rFonts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</w:rPr>
        <w:t>衔接</w:t>
      </w:r>
      <w:r>
        <w:rPr>
          <w:rFonts w:ascii="仿宋_GB2312" w:hAnsi="仿宋_GB2312" w:eastAsia="仿宋_GB2312" w:cs="仿宋_GB2312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ascii="仿宋_GB2312" w:hAnsi="仿宋_GB2312" w:eastAsia="仿宋_GB2312" w:cs="仿宋_GB2312"/>
          <w:sz w:val="32"/>
          <w:szCs w:val="32"/>
        </w:rPr>
        <w:t>共</w:t>
      </w:r>
      <w:r>
        <w:rPr>
          <w:rFonts w:hint="eastAsia" w:ascii="仿宋_GB2312" w:hAnsi="仿宋_GB2312" w:eastAsia="仿宋_GB2312" w:cs="仿宋_GB2312"/>
          <w:sz w:val="32"/>
          <w:szCs w:val="32"/>
        </w:rPr>
        <w:t>拨付衔接资金11549.1</w:t>
      </w:r>
      <w:r>
        <w:rPr>
          <w:rFonts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，所有资金均按照进度拨付到位，脱贫增收效果显著。</w:t>
      </w:r>
      <w:bookmarkEnd w:id="0"/>
    </w:p>
    <w:p w14:paraId="513D0F83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（八）在财政监督上再提升，推动“发展型”财政建设。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完善覆盖财政资金运行全过程的监督管理机制，促进监管融合，保障资金安全高效。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严控一般性支出，认真贯彻执行厉行节约，严控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“三公”经费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加强政府债务管理，坚持“尽力而为、规模适度，量力而行、风险可控”的原则，建立完善债务风险预警、控制机制，对政府性债务实行分类管理和限额控制，并将政府性债务（债券）还本付息纳入财政预算。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四是</w:t>
      </w:r>
      <w:r>
        <w:rPr>
          <w:rFonts w:hint="eastAsia" w:ascii="仿宋_GB2312" w:hAnsi="仿宋_GB2312" w:eastAsia="仿宋_GB2312" w:cs="仿宋_GB2312"/>
          <w:sz w:val="32"/>
          <w:szCs w:val="32"/>
        </w:rPr>
        <w:t>完善预决算公开制度，细化公开内容，主动接受社会各界监督。</w:t>
      </w:r>
    </w:p>
    <w:p w14:paraId="7B5DAFDB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（九）努力提升财政资金支出效益，推动“绩效型”财政建设。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加强财政监督和绩效评价工作，深入推进财政支出绩效管理改革，将绩效管理覆盖到所有预算资金，进一步健全绩效评价与预算安排挂钩机制，提高资金使用效益。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充分发挥财政监督职能，健全完善覆盖财政运行全过程的“大监督”机制，把监督贯穿到财政管理的各环节，做到“花钱必问效，无效必问责”。</w:t>
      </w:r>
    </w:p>
    <w:p w14:paraId="06723A6B">
      <w:pPr>
        <w:spacing w:line="56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主任、副主任、各位委员：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2022年各项财政工作得以圆满完成，离不开县委的正确领导和全县上下共同的努力。在看到成绩的同时，我们也清醒地认识到财政运行过程中仍然存在一些困难和问题，如收入财源结构单一，增收困难；财政收入结构不合理，质量不高；自身财力不足，地方运转对上依赖程度较高；刚性支出增加，收支矛盾</w:t>
      </w:r>
      <w:r>
        <w:rPr>
          <w:rFonts w:hint="eastAsia" w:ascii="仿宋_GB2312" w:hAnsi="楷体_GB2312" w:eastAsia="仿宋_GB2312" w:cs="楷体_GB2312"/>
          <w:bCs/>
          <w:sz w:val="32"/>
          <w:szCs w:val="32"/>
        </w:rPr>
        <w:t>更加</w:t>
      </w:r>
      <w:r>
        <w:rPr>
          <w:rFonts w:hint="eastAsia" w:ascii="仿宋_GB2312" w:hAnsi="仿宋_GB2312" w:eastAsia="仿宋_GB2312" w:cs="仿宋_GB2312"/>
          <w:sz w:val="32"/>
          <w:szCs w:val="32"/>
        </w:rPr>
        <w:t>突出；政府债务规模较大，财政还本付息存在较大压力等。对此，我们将高度重视，在今后的工作中采取有效措施，逐步加以解决。</w:t>
      </w:r>
    </w:p>
    <w:p w14:paraId="6973D5AE"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以上报告，请予以审议。</w:t>
      </w:r>
      <w:r>
        <w:rPr>
          <w:rFonts w:hint="eastAsia" w:ascii="仿宋_GB2312" w:hAnsi="仿宋_GB2312" w:eastAsia="仿宋_GB2312" w:cs="仿宋_GB2312"/>
          <w:bCs/>
          <w:color w:val="FF0000"/>
          <w:sz w:val="32"/>
          <w:szCs w:val="32"/>
        </w:rPr>
        <w:t xml:space="preserve"> </w:t>
      </w:r>
    </w:p>
    <w:p w14:paraId="41C59885">
      <w:pPr>
        <w:spacing w:line="560" w:lineRule="exact"/>
        <w:ind w:firstLine="643" w:firstLineChars="200"/>
        <w:rPr>
          <w:rFonts w:ascii="仿宋_GB2312" w:hAnsi="仿宋_GB2312" w:eastAsia="仿宋_GB2312"/>
          <w:color w:val="FF0000"/>
          <w:sz w:val="32"/>
          <w:szCs w:val="32"/>
        </w:rPr>
      </w:pPr>
      <w:r>
        <w:rPr>
          <w:rFonts w:hint="eastAsia" w:ascii="楷体_GB2312" w:hAnsi="仿宋_GB2312" w:eastAsia="楷体_GB2312"/>
          <w:b/>
          <w:color w:val="FF0000"/>
          <w:sz w:val="32"/>
          <w:szCs w:val="32"/>
        </w:rPr>
        <w:t xml:space="preserve"> </w:t>
      </w:r>
    </w:p>
    <w:sectPr>
      <w:footerReference r:id="rId3" w:type="default"/>
      <w:footerReference r:id="rId4" w:type="even"/>
      <w:pgSz w:w="11906" w:h="16838"/>
      <w:pgMar w:top="1588" w:right="1531" w:bottom="1531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3AA0E">
    <w:pPr>
      <w:pStyle w:val="4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4A9DDF83">
                <w:pPr>
                  <w:pStyle w:val="4"/>
                  <w:rPr>
                    <w:rStyle w:val="9"/>
                    <w:rFonts w:ascii="仿宋_GB2312" w:hAnsi="仿宋_GB2312" w:eastAsia="仿宋_GB2312" w:cs="仿宋_GB2312"/>
                    <w:sz w:val="28"/>
                    <w:szCs w:val="28"/>
                  </w:rPr>
                </w:pP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begin"/>
                </w:r>
                <w:r>
                  <w:rPr>
                    <w:rStyle w:val="9"/>
                    <w:rFonts w:hint="eastAsia" w:ascii="仿宋_GB2312" w:hAnsi="仿宋_GB2312" w:eastAsia="仿宋_GB2312" w:cs="仿宋_GB2312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separate"/>
                </w:r>
                <w:r>
                  <w:rPr>
                    <w:rStyle w:val="9"/>
                    <w:rFonts w:ascii="仿宋_GB2312" w:hAnsi="仿宋_GB2312" w:eastAsia="仿宋_GB2312" w:cs="仿宋_GB2312"/>
                    <w:sz w:val="28"/>
                    <w:szCs w:val="28"/>
                  </w:rPr>
                  <w:t>- 10 -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E6C107"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 w14:paraId="4AE61B01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E5382"/>
    <w:rsid w:val="000009A8"/>
    <w:rsid w:val="0000457F"/>
    <w:rsid w:val="00006AA9"/>
    <w:rsid w:val="000074FB"/>
    <w:rsid w:val="000075B6"/>
    <w:rsid w:val="00010DFE"/>
    <w:rsid w:val="000228D2"/>
    <w:rsid w:val="00023208"/>
    <w:rsid w:val="000305C0"/>
    <w:rsid w:val="00031911"/>
    <w:rsid w:val="00032190"/>
    <w:rsid w:val="00041388"/>
    <w:rsid w:val="00041E46"/>
    <w:rsid w:val="00042EFC"/>
    <w:rsid w:val="00045531"/>
    <w:rsid w:val="00050104"/>
    <w:rsid w:val="00051832"/>
    <w:rsid w:val="00053AE5"/>
    <w:rsid w:val="0006784C"/>
    <w:rsid w:val="00070D26"/>
    <w:rsid w:val="000729DB"/>
    <w:rsid w:val="00073F40"/>
    <w:rsid w:val="00082C1A"/>
    <w:rsid w:val="000864A3"/>
    <w:rsid w:val="00092013"/>
    <w:rsid w:val="00093440"/>
    <w:rsid w:val="0009488D"/>
    <w:rsid w:val="0009525E"/>
    <w:rsid w:val="000B105B"/>
    <w:rsid w:val="000B30E6"/>
    <w:rsid w:val="000C2E7B"/>
    <w:rsid w:val="000C66BF"/>
    <w:rsid w:val="000C7266"/>
    <w:rsid w:val="000C7E25"/>
    <w:rsid w:val="000E0F0B"/>
    <w:rsid w:val="000F09A4"/>
    <w:rsid w:val="000F216A"/>
    <w:rsid w:val="000F327D"/>
    <w:rsid w:val="000F7467"/>
    <w:rsid w:val="00101ACC"/>
    <w:rsid w:val="00101C50"/>
    <w:rsid w:val="00104242"/>
    <w:rsid w:val="001071A4"/>
    <w:rsid w:val="00107C0B"/>
    <w:rsid w:val="001115F8"/>
    <w:rsid w:val="001147B2"/>
    <w:rsid w:val="0011553A"/>
    <w:rsid w:val="001166DE"/>
    <w:rsid w:val="00121DE9"/>
    <w:rsid w:val="00124077"/>
    <w:rsid w:val="00125FA5"/>
    <w:rsid w:val="001268E8"/>
    <w:rsid w:val="00134745"/>
    <w:rsid w:val="00153109"/>
    <w:rsid w:val="0015349D"/>
    <w:rsid w:val="00163763"/>
    <w:rsid w:val="00166E5D"/>
    <w:rsid w:val="00176115"/>
    <w:rsid w:val="00181CF9"/>
    <w:rsid w:val="00182F10"/>
    <w:rsid w:val="00190330"/>
    <w:rsid w:val="0019506B"/>
    <w:rsid w:val="00195375"/>
    <w:rsid w:val="001A0786"/>
    <w:rsid w:val="001A1F80"/>
    <w:rsid w:val="001A2664"/>
    <w:rsid w:val="001A3360"/>
    <w:rsid w:val="001B207D"/>
    <w:rsid w:val="001C2202"/>
    <w:rsid w:val="001C2399"/>
    <w:rsid w:val="001C7525"/>
    <w:rsid w:val="001D0A0D"/>
    <w:rsid w:val="001D40B0"/>
    <w:rsid w:val="001E03A3"/>
    <w:rsid w:val="001E4C0A"/>
    <w:rsid w:val="001E5382"/>
    <w:rsid w:val="001E5DAA"/>
    <w:rsid w:val="001F0E13"/>
    <w:rsid w:val="001F1034"/>
    <w:rsid w:val="00202949"/>
    <w:rsid w:val="00210945"/>
    <w:rsid w:val="002118AB"/>
    <w:rsid w:val="002128A9"/>
    <w:rsid w:val="00213F53"/>
    <w:rsid w:val="00214F8C"/>
    <w:rsid w:val="00223F90"/>
    <w:rsid w:val="00231443"/>
    <w:rsid w:val="002320F0"/>
    <w:rsid w:val="00233892"/>
    <w:rsid w:val="002373C2"/>
    <w:rsid w:val="00241D31"/>
    <w:rsid w:val="00243670"/>
    <w:rsid w:val="0025476A"/>
    <w:rsid w:val="0025582D"/>
    <w:rsid w:val="00257BF1"/>
    <w:rsid w:val="00270B39"/>
    <w:rsid w:val="0027131E"/>
    <w:rsid w:val="00271F44"/>
    <w:rsid w:val="00275E7E"/>
    <w:rsid w:val="00277B95"/>
    <w:rsid w:val="00283629"/>
    <w:rsid w:val="00285A81"/>
    <w:rsid w:val="00293144"/>
    <w:rsid w:val="002A0860"/>
    <w:rsid w:val="002A2B78"/>
    <w:rsid w:val="002A6F22"/>
    <w:rsid w:val="002A7FCD"/>
    <w:rsid w:val="002B4E6D"/>
    <w:rsid w:val="002C09B0"/>
    <w:rsid w:val="002C7608"/>
    <w:rsid w:val="002D46F6"/>
    <w:rsid w:val="002E2333"/>
    <w:rsid w:val="002E3D31"/>
    <w:rsid w:val="002E7DE5"/>
    <w:rsid w:val="002F51C1"/>
    <w:rsid w:val="00302423"/>
    <w:rsid w:val="00303DCE"/>
    <w:rsid w:val="00306CC8"/>
    <w:rsid w:val="00306F1D"/>
    <w:rsid w:val="00310156"/>
    <w:rsid w:val="00310286"/>
    <w:rsid w:val="003148A6"/>
    <w:rsid w:val="00315B06"/>
    <w:rsid w:val="00315F6A"/>
    <w:rsid w:val="003221D8"/>
    <w:rsid w:val="003227CA"/>
    <w:rsid w:val="00332A30"/>
    <w:rsid w:val="00334CE4"/>
    <w:rsid w:val="00336997"/>
    <w:rsid w:val="003417D7"/>
    <w:rsid w:val="00352CCD"/>
    <w:rsid w:val="003536F3"/>
    <w:rsid w:val="00353B18"/>
    <w:rsid w:val="00355053"/>
    <w:rsid w:val="00355DE3"/>
    <w:rsid w:val="00356B63"/>
    <w:rsid w:val="00364DDE"/>
    <w:rsid w:val="00380B84"/>
    <w:rsid w:val="00381F32"/>
    <w:rsid w:val="0038275C"/>
    <w:rsid w:val="00394C6C"/>
    <w:rsid w:val="003A0694"/>
    <w:rsid w:val="003A374E"/>
    <w:rsid w:val="003A5860"/>
    <w:rsid w:val="003A5C7C"/>
    <w:rsid w:val="003A642D"/>
    <w:rsid w:val="003A720E"/>
    <w:rsid w:val="003A7D24"/>
    <w:rsid w:val="003B24BA"/>
    <w:rsid w:val="003B3858"/>
    <w:rsid w:val="003B4E68"/>
    <w:rsid w:val="003C425B"/>
    <w:rsid w:val="003C5B59"/>
    <w:rsid w:val="003D73BC"/>
    <w:rsid w:val="003E29D3"/>
    <w:rsid w:val="003E35BC"/>
    <w:rsid w:val="003F05F0"/>
    <w:rsid w:val="003F1FB5"/>
    <w:rsid w:val="003F640C"/>
    <w:rsid w:val="00400A9F"/>
    <w:rsid w:val="00403761"/>
    <w:rsid w:val="00404762"/>
    <w:rsid w:val="0040592B"/>
    <w:rsid w:val="0041022C"/>
    <w:rsid w:val="00413F09"/>
    <w:rsid w:val="00414FC9"/>
    <w:rsid w:val="004178B2"/>
    <w:rsid w:val="00422DF3"/>
    <w:rsid w:val="004234AA"/>
    <w:rsid w:val="0042401E"/>
    <w:rsid w:val="0042621C"/>
    <w:rsid w:val="004316E8"/>
    <w:rsid w:val="00431DE5"/>
    <w:rsid w:val="00432BC0"/>
    <w:rsid w:val="004369E8"/>
    <w:rsid w:val="004400E5"/>
    <w:rsid w:val="00450B9F"/>
    <w:rsid w:val="00456584"/>
    <w:rsid w:val="00461A76"/>
    <w:rsid w:val="00461E13"/>
    <w:rsid w:val="004637FC"/>
    <w:rsid w:val="004727F6"/>
    <w:rsid w:val="00472CD2"/>
    <w:rsid w:val="00473583"/>
    <w:rsid w:val="0047634E"/>
    <w:rsid w:val="00480B04"/>
    <w:rsid w:val="00482F34"/>
    <w:rsid w:val="0048525D"/>
    <w:rsid w:val="00485639"/>
    <w:rsid w:val="004A2136"/>
    <w:rsid w:val="004A3758"/>
    <w:rsid w:val="004B1FF6"/>
    <w:rsid w:val="004C0CE9"/>
    <w:rsid w:val="004D1F2C"/>
    <w:rsid w:val="004D590B"/>
    <w:rsid w:val="004D64E2"/>
    <w:rsid w:val="004D690E"/>
    <w:rsid w:val="004E4064"/>
    <w:rsid w:val="004E448C"/>
    <w:rsid w:val="004E6E0D"/>
    <w:rsid w:val="004E7B36"/>
    <w:rsid w:val="004F1520"/>
    <w:rsid w:val="004F552A"/>
    <w:rsid w:val="004F574C"/>
    <w:rsid w:val="004F7F83"/>
    <w:rsid w:val="00505304"/>
    <w:rsid w:val="005068A2"/>
    <w:rsid w:val="00506EE7"/>
    <w:rsid w:val="0051190E"/>
    <w:rsid w:val="0051306F"/>
    <w:rsid w:val="005155B4"/>
    <w:rsid w:val="00515D0D"/>
    <w:rsid w:val="00522780"/>
    <w:rsid w:val="00523156"/>
    <w:rsid w:val="00524E7F"/>
    <w:rsid w:val="005352AF"/>
    <w:rsid w:val="00543C9C"/>
    <w:rsid w:val="00552F26"/>
    <w:rsid w:val="00562390"/>
    <w:rsid w:val="00563B34"/>
    <w:rsid w:val="005679C4"/>
    <w:rsid w:val="00567CA6"/>
    <w:rsid w:val="005707BF"/>
    <w:rsid w:val="00571001"/>
    <w:rsid w:val="00574369"/>
    <w:rsid w:val="00580E85"/>
    <w:rsid w:val="005814F9"/>
    <w:rsid w:val="00581825"/>
    <w:rsid w:val="005827C3"/>
    <w:rsid w:val="005876C8"/>
    <w:rsid w:val="0059236A"/>
    <w:rsid w:val="00592917"/>
    <w:rsid w:val="005A2486"/>
    <w:rsid w:val="005A3D55"/>
    <w:rsid w:val="005B03B0"/>
    <w:rsid w:val="005B4FA8"/>
    <w:rsid w:val="005B7152"/>
    <w:rsid w:val="005C5E01"/>
    <w:rsid w:val="005D26AC"/>
    <w:rsid w:val="005D545E"/>
    <w:rsid w:val="005D7E18"/>
    <w:rsid w:val="005E1E73"/>
    <w:rsid w:val="005E4ADC"/>
    <w:rsid w:val="005E7597"/>
    <w:rsid w:val="005F2DFE"/>
    <w:rsid w:val="00600877"/>
    <w:rsid w:val="00602CEF"/>
    <w:rsid w:val="00607C5E"/>
    <w:rsid w:val="00613A2F"/>
    <w:rsid w:val="00621E9A"/>
    <w:rsid w:val="006224FB"/>
    <w:rsid w:val="00631DCF"/>
    <w:rsid w:val="0064358D"/>
    <w:rsid w:val="006467BD"/>
    <w:rsid w:val="00647B6E"/>
    <w:rsid w:val="0065086A"/>
    <w:rsid w:val="006514C2"/>
    <w:rsid w:val="00651A48"/>
    <w:rsid w:val="00651C68"/>
    <w:rsid w:val="0065256B"/>
    <w:rsid w:val="006564DE"/>
    <w:rsid w:val="00660098"/>
    <w:rsid w:val="00667329"/>
    <w:rsid w:val="0067434B"/>
    <w:rsid w:val="00674A45"/>
    <w:rsid w:val="006765B2"/>
    <w:rsid w:val="00677800"/>
    <w:rsid w:val="0068415F"/>
    <w:rsid w:val="006845A3"/>
    <w:rsid w:val="006929E9"/>
    <w:rsid w:val="006A4A0B"/>
    <w:rsid w:val="006A4E2A"/>
    <w:rsid w:val="006A731A"/>
    <w:rsid w:val="006A7D61"/>
    <w:rsid w:val="006B0A92"/>
    <w:rsid w:val="006B1A66"/>
    <w:rsid w:val="006B5E82"/>
    <w:rsid w:val="006C0A2F"/>
    <w:rsid w:val="006C4F0D"/>
    <w:rsid w:val="006D2A3E"/>
    <w:rsid w:val="006E1B08"/>
    <w:rsid w:val="006E2446"/>
    <w:rsid w:val="006E24DA"/>
    <w:rsid w:val="006E34A4"/>
    <w:rsid w:val="006F039A"/>
    <w:rsid w:val="006F457F"/>
    <w:rsid w:val="007014A2"/>
    <w:rsid w:val="00703E42"/>
    <w:rsid w:val="00703EA7"/>
    <w:rsid w:val="00704371"/>
    <w:rsid w:val="0071025F"/>
    <w:rsid w:val="00714E87"/>
    <w:rsid w:val="00722A04"/>
    <w:rsid w:val="007246F6"/>
    <w:rsid w:val="00732649"/>
    <w:rsid w:val="007355BE"/>
    <w:rsid w:val="00737154"/>
    <w:rsid w:val="00742F05"/>
    <w:rsid w:val="007460A8"/>
    <w:rsid w:val="007534C1"/>
    <w:rsid w:val="00760443"/>
    <w:rsid w:val="00760EEC"/>
    <w:rsid w:val="007626FA"/>
    <w:rsid w:val="0076291F"/>
    <w:rsid w:val="00763510"/>
    <w:rsid w:val="00766D6D"/>
    <w:rsid w:val="007715EF"/>
    <w:rsid w:val="007725FC"/>
    <w:rsid w:val="00777149"/>
    <w:rsid w:val="00791D07"/>
    <w:rsid w:val="0079292F"/>
    <w:rsid w:val="007A0A26"/>
    <w:rsid w:val="007A10F7"/>
    <w:rsid w:val="007A11A5"/>
    <w:rsid w:val="007A173F"/>
    <w:rsid w:val="007A33ED"/>
    <w:rsid w:val="007A5C99"/>
    <w:rsid w:val="007B133A"/>
    <w:rsid w:val="007B2BFB"/>
    <w:rsid w:val="007B3428"/>
    <w:rsid w:val="007B7437"/>
    <w:rsid w:val="007C0425"/>
    <w:rsid w:val="007C2DF6"/>
    <w:rsid w:val="007C4BC8"/>
    <w:rsid w:val="007C723A"/>
    <w:rsid w:val="007D2B05"/>
    <w:rsid w:val="007D3AD5"/>
    <w:rsid w:val="007D42DE"/>
    <w:rsid w:val="007E38D0"/>
    <w:rsid w:val="007E444C"/>
    <w:rsid w:val="007E6840"/>
    <w:rsid w:val="007E7B3F"/>
    <w:rsid w:val="007F591B"/>
    <w:rsid w:val="007F6361"/>
    <w:rsid w:val="00802F21"/>
    <w:rsid w:val="00804A28"/>
    <w:rsid w:val="00816C33"/>
    <w:rsid w:val="00822D75"/>
    <w:rsid w:val="008256C2"/>
    <w:rsid w:val="008267B9"/>
    <w:rsid w:val="008345A8"/>
    <w:rsid w:val="0084372D"/>
    <w:rsid w:val="00844529"/>
    <w:rsid w:val="008458FD"/>
    <w:rsid w:val="0085320C"/>
    <w:rsid w:val="00856EDA"/>
    <w:rsid w:val="00860A72"/>
    <w:rsid w:val="00866434"/>
    <w:rsid w:val="00875061"/>
    <w:rsid w:val="00883A0D"/>
    <w:rsid w:val="008846E6"/>
    <w:rsid w:val="00896956"/>
    <w:rsid w:val="008A09AD"/>
    <w:rsid w:val="008B1BF7"/>
    <w:rsid w:val="008B25CB"/>
    <w:rsid w:val="008B5433"/>
    <w:rsid w:val="008B7990"/>
    <w:rsid w:val="008C01FC"/>
    <w:rsid w:val="008C3854"/>
    <w:rsid w:val="008C45E7"/>
    <w:rsid w:val="008D1028"/>
    <w:rsid w:val="008D5D7C"/>
    <w:rsid w:val="008D5E57"/>
    <w:rsid w:val="008E15F3"/>
    <w:rsid w:val="008E3F5C"/>
    <w:rsid w:val="008E425D"/>
    <w:rsid w:val="008F0473"/>
    <w:rsid w:val="008F20FD"/>
    <w:rsid w:val="008F2230"/>
    <w:rsid w:val="008F2F98"/>
    <w:rsid w:val="008F6E9D"/>
    <w:rsid w:val="009028CE"/>
    <w:rsid w:val="00903EEF"/>
    <w:rsid w:val="00904BC3"/>
    <w:rsid w:val="0090504D"/>
    <w:rsid w:val="0090623B"/>
    <w:rsid w:val="0090628A"/>
    <w:rsid w:val="00920AB5"/>
    <w:rsid w:val="009260F2"/>
    <w:rsid w:val="00932FFF"/>
    <w:rsid w:val="00936870"/>
    <w:rsid w:val="009420B8"/>
    <w:rsid w:val="009515FD"/>
    <w:rsid w:val="009622D3"/>
    <w:rsid w:val="00966990"/>
    <w:rsid w:val="00971B3C"/>
    <w:rsid w:val="00972041"/>
    <w:rsid w:val="00972E88"/>
    <w:rsid w:val="00981742"/>
    <w:rsid w:val="0098184C"/>
    <w:rsid w:val="0098390E"/>
    <w:rsid w:val="009870E3"/>
    <w:rsid w:val="00992169"/>
    <w:rsid w:val="0099477D"/>
    <w:rsid w:val="009A5E4C"/>
    <w:rsid w:val="009A5F56"/>
    <w:rsid w:val="009B027B"/>
    <w:rsid w:val="009B0F78"/>
    <w:rsid w:val="009B19B3"/>
    <w:rsid w:val="009B4515"/>
    <w:rsid w:val="009B5464"/>
    <w:rsid w:val="009B7073"/>
    <w:rsid w:val="009C1687"/>
    <w:rsid w:val="009C1733"/>
    <w:rsid w:val="009C18A9"/>
    <w:rsid w:val="009C422A"/>
    <w:rsid w:val="009D0B72"/>
    <w:rsid w:val="009D192D"/>
    <w:rsid w:val="009D3D1F"/>
    <w:rsid w:val="009E1B25"/>
    <w:rsid w:val="009E44D0"/>
    <w:rsid w:val="009E47B3"/>
    <w:rsid w:val="009E78E7"/>
    <w:rsid w:val="009F2413"/>
    <w:rsid w:val="009F37B5"/>
    <w:rsid w:val="009F38D3"/>
    <w:rsid w:val="009F40E0"/>
    <w:rsid w:val="009F585A"/>
    <w:rsid w:val="00A026C0"/>
    <w:rsid w:val="00A028FC"/>
    <w:rsid w:val="00A129BD"/>
    <w:rsid w:val="00A1723F"/>
    <w:rsid w:val="00A17C04"/>
    <w:rsid w:val="00A2133A"/>
    <w:rsid w:val="00A2153C"/>
    <w:rsid w:val="00A26E54"/>
    <w:rsid w:val="00A37E33"/>
    <w:rsid w:val="00A40468"/>
    <w:rsid w:val="00A54EF1"/>
    <w:rsid w:val="00A56F59"/>
    <w:rsid w:val="00A63F9D"/>
    <w:rsid w:val="00A6446F"/>
    <w:rsid w:val="00A77C18"/>
    <w:rsid w:val="00A82A0C"/>
    <w:rsid w:val="00A9129C"/>
    <w:rsid w:val="00A914D6"/>
    <w:rsid w:val="00A926DB"/>
    <w:rsid w:val="00A93A19"/>
    <w:rsid w:val="00A94E7E"/>
    <w:rsid w:val="00AA030E"/>
    <w:rsid w:val="00AA0FF3"/>
    <w:rsid w:val="00AA5E89"/>
    <w:rsid w:val="00AA68E8"/>
    <w:rsid w:val="00AB395A"/>
    <w:rsid w:val="00AC01DF"/>
    <w:rsid w:val="00AC2FB9"/>
    <w:rsid w:val="00AC3195"/>
    <w:rsid w:val="00AC45AC"/>
    <w:rsid w:val="00AC4899"/>
    <w:rsid w:val="00AC49C6"/>
    <w:rsid w:val="00AC6E3C"/>
    <w:rsid w:val="00AC720F"/>
    <w:rsid w:val="00AD065A"/>
    <w:rsid w:val="00AD268B"/>
    <w:rsid w:val="00AD336F"/>
    <w:rsid w:val="00AD398E"/>
    <w:rsid w:val="00AE6D2D"/>
    <w:rsid w:val="00AF0113"/>
    <w:rsid w:val="00AF2F2C"/>
    <w:rsid w:val="00B04776"/>
    <w:rsid w:val="00B078DC"/>
    <w:rsid w:val="00B11AE4"/>
    <w:rsid w:val="00B1780A"/>
    <w:rsid w:val="00B20571"/>
    <w:rsid w:val="00B224CB"/>
    <w:rsid w:val="00B2266D"/>
    <w:rsid w:val="00B265F3"/>
    <w:rsid w:val="00B36546"/>
    <w:rsid w:val="00B433BE"/>
    <w:rsid w:val="00B43894"/>
    <w:rsid w:val="00B44DFE"/>
    <w:rsid w:val="00B45A21"/>
    <w:rsid w:val="00B47BF6"/>
    <w:rsid w:val="00B47CBB"/>
    <w:rsid w:val="00B507F7"/>
    <w:rsid w:val="00B50A1A"/>
    <w:rsid w:val="00B54439"/>
    <w:rsid w:val="00B5445D"/>
    <w:rsid w:val="00B708FF"/>
    <w:rsid w:val="00B71897"/>
    <w:rsid w:val="00B732BE"/>
    <w:rsid w:val="00B738EE"/>
    <w:rsid w:val="00B7425A"/>
    <w:rsid w:val="00B743AB"/>
    <w:rsid w:val="00B823D4"/>
    <w:rsid w:val="00B83C88"/>
    <w:rsid w:val="00B928CB"/>
    <w:rsid w:val="00BA2CEA"/>
    <w:rsid w:val="00BA625B"/>
    <w:rsid w:val="00BA7D53"/>
    <w:rsid w:val="00BB0969"/>
    <w:rsid w:val="00BB1259"/>
    <w:rsid w:val="00BB37E3"/>
    <w:rsid w:val="00BB5EDE"/>
    <w:rsid w:val="00BC5837"/>
    <w:rsid w:val="00BD2792"/>
    <w:rsid w:val="00BD4F1E"/>
    <w:rsid w:val="00BD618A"/>
    <w:rsid w:val="00BE663D"/>
    <w:rsid w:val="00BF16F4"/>
    <w:rsid w:val="00BF538A"/>
    <w:rsid w:val="00C00006"/>
    <w:rsid w:val="00C045C3"/>
    <w:rsid w:val="00C214F2"/>
    <w:rsid w:val="00C23D1C"/>
    <w:rsid w:val="00C27B87"/>
    <w:rsid w:val="00C34436"/>
    <w:rsid w:val="00C356DA"/>
    <w:rsid w:val="00C36DF3"/>
    <w:rsid w:val="00C41FE8"/>
    <w:rsid w:val="00C43DE7"/>
    <w:rsid w:val="00C44D04"/>
    <w:rsid w:val="00C54445"/>
    <w:rsid w:val="00C54C82"/>
    <w:rsid w:val="00C5635D"/>
    <w:rsid w:val="00C652CD"/>
    <w:rsid w:val="00C66A44"/>
    <w:rsid w:val="00C66F06"/>
    <w:rsid w:val="00C83BD0"/>
    <w:rsid w:val="00C8544B"/>
    <w:rsid w:val="00C907BC"/>
    <w:rsid w:val="00C90E8F"/>
    <w:rsid w:val="00C91076"/>
    <w:rsid w:val="00C934DF"/>
    <w:rsid w:val="00CA1ED0"/>
    <w:rsid w:val="00CA6DA9"/>
    <w:rsid w:val="00CB28EB"/>
    <w:rsid w:val="00CB2A6D"/>
    <w:rsid w:val="00CB7172"/>
    <w:rsid w:val="00CB7E17"/>
    <w:rsid w:val="00CC0943"/>
    <w:rsid w:val="00CC149C"/>
    <w:rsid w:val="00CC1B56"/>
    <w:rsid w:val="00CD3B77"/>
    <w:rsid w:val="00CD75C7"/>
    <w:rsid w:val="00CD7B6E"/>
    <w:rsid w:val="00CE440F"/>
    <w:rsid w:val="00CE6FB6"/>
    <w:rsid w:val="00CF69E6"/>
    <w:rsid w:val="00D01090"/>
    <w:rsid w:val="00D12C2C"/>
    <w:rsid w:val="00D12C44"/>
    <w:rsid w:val="00D12DD2"/>
    <w:rsid w:val="00D137B2"/>
    <w:rsid w:val="00D13CD6"/>
    <w:rsid w:val="00D15EDC"/>
    <w:rsid w:val="00D20D56"/>
    <w:rsid w:val="00D26E7A"/>
    <w:rsid w:val="00D27109"/>
    <w:rsid w:val="00D27152"/>
    <w:rsid w:val="00D324CB"/>
    <w:rsid w:val="00D331C0"/>
    <w:rsid w:val="00D33CE4"/>
    <w:rsid w:val="00D35D7A"/>
    <w:rsid w:val="00D40297"/>
    <w:rsid w:val="00D4261D"/>
    <w:rsid w:val="00D45488"/>
    <w:rsid w:val="00D475F8"/>
    <w:rsid w:val="00D56FC4"/>
    <w:rsid w:val="00D637AA"/>
    <w:rsid w:val="00D655BE"/>
    <w:rsid w:val="00D67ADB"/>
    <w:rsid w:val="00D72901"/>
    <w:rsid w:val="00D72B1C"/>
    <w:rsid w:val="00D77AD2"/>
    <w:rsid w:val="00D80553"/>
    <w:rsid w:val="00D81A9C"/>
    <w:rsid w:val="00D82770"/>
    <w:rsid w:val="00D83220"/>
    <w:rsid w:val="00D865D6"/>
    <w:rsid w:val="00D919F9"/>
    <w:rsid w:val="00D94541"/>
    <w:rsid w:val="00DA0C31"/>
    <w:rsid w:val="00DA5692"/>
    <w:rsid w:val="00DA5DF2"/>
    <w:rsid w:val="00DA608A"/>
    <w:rsid w:val="00DB099A"/>
    <w:rsid w:val="00DB0D5E"/>
    <w:rsid w:val="00DB3EEA"/>
    <w:rsid w:val="00DB6B21"/>
    <w:rsid w:val="00DB6C2A"/>
    <w:rsid w:val="00DC0542"/>
    <w:rsid w:val="00DD11EC"/>
    <w:rsid w:val="00DD7DEF"/>
    <w:rsid w:val="00DE48D2"/>
    <w:rsid w:val="00DF1CF7"/>
    <w:rsid w:val="00DF3BB4"/>
    <w:rsid w:val="00DF7027"/>
    <w:rsid w:val="00DF7241"/>
    <w:rsid w:val="00E00BF8"/>
    <w:rsid w:val="00E01E67"/>
    <w:rsid w:val="00E0355C"/>
    <w:rsid w:val="00E04099"/>
    <w:rsid w:val="00E05799"/>
    <w:rsid w:val="00E05B53"/>
    <w:rsid w:val="00E1281D"/>
    <w:rsid w:val="00E14376"/>
    <w:rsid w:val="00E1552C"/>
    <w:rsid w:val="00E16C42"/>
    <w:rsid w:val="00E24E96"/>
    <w:rsid w:val="00E31EA5"/>
    <w:rsid w:val="00E33F76"/>
    <w:rsid w:val="00E3525E"/>
    <w:rsid w:val="00E40282"/>
    <w:rsid w:val="00E41AD0"/>
    <w:rsid w:val="00E449BD"/>
    <w:rsid w:val="00E4794C"/>
    <w:rsid w:val="00E47D26"/>
    <w:rsid w:val="00E57000"/>
    <w:rsid w:val="00E5702E"/>
    <w:rsid w:val="00E6785D"/>
    <w:rsid w:val="00E6785F"/>
    <w:rsid w:val="00E80BC1"/>
    <w:rsid w:val="00E82EAB"/>
    <w:rsid w:val="00E838F5"/>
    <w:rsid w:val="00E856C4"/>
    <w:rsid w:val="00E87A42"/>
    <w:rsid w:val="00E922D7"/>
    <w:rsid w:val="00E93BC8"/>
    <w:rsid w:val="00E9644C"/>
    <w:rsid w:val="00EA3F5B"/>
    <w:rsid w:val="00EA5F15"/>
    <w:rsid w:val="00EB15B7"/>
    <w:rsid w:val="00EB7F71"/>
    <w:rsid w:val="00ED1B18"/>
    <w:rsid w:val="00ED2582"/>
    <w:rsid w:val="00ED2956"/>
    <w:rsid w:val="00ED55CE"/>
    <w:rsid w:val="00ED5968"/>
    <w:rsid w:val="00ED6673"/>
    <w:rsid w:val="00ED72B7"/>
    <w:rsid w:val="00EE1BC9"/>
    <w:rsid w:val="00EE58F1"/>
    <w:rsid w:val="00EF24C1"/>
    <w:rsid w:val="00EF4271"/>
    <w:rsid w:val="00EF5B76"/>
    <w:rsid w:val="00F00A2F"/>
    <w:rsid w:val="00F0133C"/>
    <w:rsid w:val="00F03A6F"/>
    <w:rsid w:val="00F05A9C"/>
    <w:rsid w:val="00F11180"/>
    <w:rsid w:val="00F124A1"/>
    <w:rsid w:val="00F14D60"/>
    <w:rsid w:val="00F17E5A"/>
    <w:rsid w:val="00F461A9"/>
    <w:rsid w:val="00F47F29"/>
    <w:rsid w:val="00F50028"/>
    <w:rsid w:val="00F50D81"/>
    <w:rsid w:val="00F51A2F"/>
    <w:rsid w:val="00F51E74"/>
    <w:rsid w:val="00F54AF7"/>
    <w:rsid w:val="00F63A6B"/>
    <w:rsid w:val="00F6506C"/>
    <w:rsid w:val="00F66C3F"/>
    <w:rsid w:val="00F67A49"/>
    <w:rsid w:val="00F719F6"/>
    <w:rsid w:val="00F84ECD"/>
    <w:rsid w:val="00F9166B"/>
    <w:rsid w:val="00F92B86"/>
    <w:rsid w:val="00FA1A2B"/>
    <w:rsid w:val="00FA1FB9"/>
    <w:rsid w:val="00FA2EC5"/>
    <w:rsid w:val="00FA39AB"/>
    <w:rsid w:val="00FA4030"/>
    <w:rsid w:val="00FA44A6"/>
    <w:rsid w:val="00FA58BB"/>
    <w:rsid w:val="00FA6412"/>
    <w:rsid w:val="00FA69A9"/>
    <w:rsid w:val="00FB008C"/>
    <w:rsid w:val="00FC0419"/>
    <w:rsid w:val="00FD002A"/>
    <w:rsid w:val="00FD1A9B"/>
    <w:rsid w:val="00FD5A43"/>
    <w:rsid w:val="00FE2DAD"/>
    <w:rsid w:val="00FE40EA"/>
    <w:rsid w:val="00FE5A7C"/>
    <w:rsid w:val="00FF14CB"/>
    <w:rsid w:val="0C5C1CE9"/>
    <w:rsid w:val="1CCF6355"/>
    <w:rsid w:val="2D535B8B"/>
    <w:rsid w:val="37BE185C"/>
    <w:rsid w:val="3FD05749"/>
    <w:rsid w:val="45893D76"/>
    <w:rsid w:val="5130740D"/>
    <w:rsid w:val="5F641C09"/>
    <w:rsid w:val="61B32B19"/>
    <w:rsid w:val="70751DCA"/>
    <w:rsid w:val="724B4852"/>
    <w:rsid w:val="753A7699"/>
    <w:rsid w:val="7A6F529B"/>
    <w:rsid w:val="7B7B4DF2"/>
    <w:rsid w:val="7D3F2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99"/>
    <w:rPr>
      <w:rFonts w:ascii="宋体" w:hAnsi="Courier New" w:cs="Courier New"/>
      <w:szCs w:val="21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  <w:rPr>
      <w:szCs w:val="20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page number"/>
    <w:basedOn w:val="8"/>
    <w:qFormat/>
    <w:uiPriority w:val="0"/>
  </w:style>
  <w:style w:type="character" w:customStyle="1" w:styleId="10">
    <w:name w:val="页脚 Char"/>
    <w:basedOn w:val="8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纯文本 Char"/>
    <w:basedOn w:val="8"/>
    <w:link w:val="2"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2">
    <w:name w:val="页眉 Char"/>
    <w:basedOn w:val="8"/>
    <w:link w:val="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正文文本缩进 2 Char"/>
    <w:basedOn w:val="8"/>
    <w:link w:val="3"/>
    <w:qFormat/>
    <w:uiPriority w:val="0"/>
    <w:rPr>
      <w:rFonts w:ascii="Times New Roman" w:hAnsi="Times New Roman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88B620-47B2-4A66-85CA-21BD45BE44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1211</Words>
  <Characters>6904</Characters>
  <Lines>57</Lines>
  <Paragraphs>16</Paragraphs>
  <TotalTime>1939</TotalTime>
  <ScaleCrop>false</ScaleCrop>
  <LinksUpToDate>false</LinksUpToDate>
  <CharactersWithSpaces>8099</CharactersWithSpaces>
  <Application>WPS Office_12.8.2.17148_F1E327BC-269C-435d-A152-05C5408002CA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2021-08-19T05:48:00Z</dcterms:created>
  <dc:creator>Administrator</dc:creator>
  <cp:lastModifiedBy>Administrator</cp:lastModifiedBy>
  <cp:lastPrinted>2023-09-20T02:40:00Z</cp:lastPrinted>
  <dcterms:modified xsi:type="dcterms:W3CDTF">2024-12-13T09:31:22Z</dcterms:modified>
  <cp:revision>234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2052-12.8.2.17148</vt:lpwstr>
  </property>
  <property fmtid="{D5CDD505-2E9C-101B-9397-08002B2CF9AE}" pid="3" name="ICV">
    <vt:lpwstr>4EA313EA1F2D491E85E1A10A1C401C25_12</vt:lpwstr>
  </property>
</Properties>
</file>