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DF749">
      <w:pPr>
        <w:pStyle w:val="10"/>
        <w:rPr>
          <w:rFonts w:ascii="微软雅黑" w:hAnsi="微软雅黑" w:eastAsia="微软雅黑" w:cs="微软雅黑"/>
          <w:b/>
          <w:bCs/>
        </w:rPr>
      </w:pPr>
    </w:p>
    <w:p w14:paraId="140E4ACE">
      <w:pPr>
        <w:pStyle w:val="10"/>
        <w:spacing w:line="560" w:lineRule="exact"/>
        <w:ind w:left="2200" w:hanging="2200" w:hangingChars="500"/>
        <w:jc w:val="center"/>
        <w:rPr>
          <w:rFonts w:ascii="方正小标宋简体" w:hAnsi="微软雅黑" w:eastAsia="方正小标宋简体" w:cs="微软雅黑"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sz w:val="44"/>
          <w:szCs w:val="44"/>
        </w:rPr>
        <w:t>2022年度鄯善县本级部门决算财政拨款</w:t>
      </w:r>
    </w:p>
    <w:p w14:paraId="719BC063">
      <w:pPr>
        <w:pStyle w:val="10"/>
        <w:spacing w:line="560" w:lineRule="exact"/>
        <w:ind w:left="2203" w:leftChars="630" w:hanging="880" w:hangingChars="200"/>
        <w:jc w:val="center"/>
        <w:rPr>
          <w:rFonts w:ascii="方正小标宋简体" w:hAnsi="微软雅黑" w:eastAsia="方正小标宋简体" w:cs="微软雅黑"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sz w:val="44"/>
          <w:szCs w:val="44"/>
        </w:rPr>
        <w:t>“三公”经费支出情况说明</w:t>
      </w:r>
    </w:p>
    <w:p w14:paraId="543C508C">
      <w:pPr>
        <w:pStyle w:val="10"/>
        <w:spacing w:line="560" w:lineRule="exact"/>
        <w:ind w:left="1200" w:hanging="1200" w:hangingChars="500"/>
        <w:rPr>
          <w:rFonts w:asciiTheme="minorEastAsia" w:hAnsiTheme="minorEastAsia" w:eastAsiaTheme="minorEastAsia" w:cstheme="minorEastAsia"/>
        </w:rPr>
      </w:pPr>
    </w:p>
    <w:p w14:paraId="0ED101DC">
      <w:pPr>
        <w:pStyle w:val="10"/>
        <w:spacing w:line="560" w:lineRule="exact"/>
        <w:ind w:firstLine="320" w:firstLineChars="100"/>
        <w:rPr>
          <w:rFonts w:hAnsi="黑体"/>
          <w:sz w:val="32"/>
          <w:szCs w:val="32"/>
        </w:rPr>
      </w:pPr>
      <w:r>
        <w:rPr>
          <w:rFonts w:hint="eastAsia" w:hAnsi="黑体"/>
          <w:sz w:val="32"/>
          <w:szCs w:val="32"/>
        </w:rPr>
        <w:t xml:space="preserve">一、鄯善县本级预算单位、人员及车辆基本情况 </w:t>
      </w:r>
    </w:p>
    <w:p w14:paraId="2234BD37">
      <w:pPr>
        <w:pStyle w:val="10"/>
        <w:spacing w:line="560" w:lineRule="exact"/>
        <w:ind w:firstLine="640" w:firstLineChars="20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2022年鄯善县本级共119个一级预算部门，财政供养人员共计9224人。其中：行政编制人员1850人，事业编制人员7283人，离休人员1人。公务用车总数832辆（其中：主要领导干部用车16辆、机要通信用车1辆、应急保障用车3辆、执法执勤用车207辆、特种专业技术用车17辆、其他用车588辆）。 </w:t>
      </w:r>
    </w:p>
    <w:p w14:paraId="4F2BA936">
      <w:pPr>
        <w:pStyle w:val="10"/>
        <w:spacing w:line="560" w:lineRule="exact"/>
        <w:ind w:firstLine="320" w:firstLineChars="100"/>
        <w:rPr>
          <w:rFonts w:hAnsi="黑体"/>
          <w:sz w:val="32"/>
          <w:szCs w:val="32"/>
        </w:rPr>
      </w:pPr>
      <w:r>
        <w:rPr>
          <w:rFonts w:hint="eastAsia" w:hAnsi="黑体"/>
          <w:sz w:val="32"/>
          <w:szCs w:val="32"/>
        </w:rPr>
        <w:t xml:space="preserve">二、“三公”经费公开口径 </w:t>
      </w:r>
    </w:p>
    <w:p w14:paraId="52B02E91">
      <w:pPr>
        <w:pStyle w:val="10"/>
        <w:spacing w:line="560" w:lineRule="exact"/>
        <w:ind w:firstLine="472" w:firstLineChars="147"/>
        <w:jc w:val="both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（一）因公出国（境）费：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反映单位工作人员公务出国境的住宿费、旅费、伙食补劣费、杂费、培训费等支出。包括学术会议、科技研讨会、国际重大体育赛事申办及参赛费用、文化交流(如文化访问演出等)和政府间、单位间交往等。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</w:p>
    <w:p w14:paraId="54D3187E">
      <w:pPr>
        <w:pStyle w:val="10"/>
        <w:spacing w:line="560" w:lineRule="exact"/>
        <w:ind w:firstLine="472" w:firstLineChars="147"/>
        <w:jc w:val="both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（二）公务用车购置及运行维护费：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公务用车购置费反映公务用车购置支出；车辆运行维护费反映公务用车的租用费、燃料费、维修费、过桥过路费、保险费、安全奖励费用等支出。包括黄标车淘汰更新，执法执勤用车、特种专业技术用车和一般公务用车车辆报废更新等。 </w:t>
      </w:r>
    </w:p>
    <w:p w14:paraId="3424175F">
      <w:pPr>
        <w:pStyle w:val="10"/>
        <w:spacing w:line="560" w:lineRule="exact"/>
        <w:ind w:firstLine="472" w:firstLineChars="147"/>
        <w:jc w:val="both"/>
        <w:rPr>
          <w:rFonts w:ascii="仿宋_GB2312" w:hAnsi="Times New Roman" w:eastAsia="仿宋_GB2312" w:cs="Times New Roman"/>
          <w:bCs/>
          <w:color w:val="auto"/>
          <w:kern w:val="2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（三）公务接待费用：</w:t>
      </w:r>
      <w:r>
        <w:rPr>
          <w:rFonts w:hint="eastAsia" w:ascii="仿宋_GB2312" w:hAnsi="Times New Roman" w:eastAsia="仿宋_GB2312" w:cs="Times New Roman"/>
          <w:bCs/>
          <w:color w:val="auto"/>
          <w:kern w:val="2"/>
          <w:sz w:val="32"/>
          <w:szCs w:val="32"/>
        </w:rPr>
        <w:t xml:space="preserve">反映单位按规定开支的各类公务 </w:t>
      </w:r>
    </w:p>
    <w:p w14:paraId="0D2BA27C">
      <w:pPr>
        <w:pStyle w:val="10"/>
        <w:spacing w:line="560" w:lineRule="exact"/>
        <w:jc w:val="both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接待（含外宾接待）费用。包括国际访问、大型活劢(如亚欧博览会)及外省市交流接待等。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</w:t>
      </w:r>
    </w:p>
    <w:p w14:paraId="272C6F15">
      <w:pPr>
        <w:pStyle w:val="10"/>
        <w:spacing w:line="560" w:lineRule="exact"/>
        <w:ind w:firstLine="320" w:firstLineChars="100"/>
        <w:rPr>
          <w:rFonts w:hAnsi="黑体"/>
          <w:sz w:val="32"/>
          <w:szCs w:val="32"/>
        </w:rPr>
      </w:pPr>
      <w:r>
        <w:rPr>
          <w:rFonts w:hint="eastAsia" w:hAnsi="黑体"/>
          <w:sz w:val="32"/>
          <w:szCs w:val="32"/>
        </w:rPr>
        <w:t xml:space="preserve">三、鄯善县本级“三公”经费支出总体情况 </w:t>
      </w:r>
    </w:p>
    <w:p w14:paraId="5D4507BE">
      <w:pPr>
        <w:pStyle w:val="10"/>
        <w:spacing w:line="560" w:lineRule="exact"/>
        <w:ind w:firstLine="640" w:firstLineChars="20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2022年度一般公共预算“三公”经费支出决算1237万元，与年初预算数相比情况：一般公共预算“三公”经费支出年初预算数1244.42万元，决算数1237万元，预决算差异率-0.6%，差异主要原因:年初虽然安排“三公”经费支出预算，但是各部门单位认真贯彻落实中央、自治区和鄯善县厉行节约的各项规定，坚持有保有压，强化日常财务监管，严格控制和降低行政运行成本，大力压缩 “三公”经费支出规模。与上年相比增加5.52万元，增长0.4%。其中：</w:t>
      </w:r>
    </w:p>
    <w:p w14:paraId="41F730EB">
      <w:pPr>
        <w:pStyle w:val="10"/>
        <w:spacing w:line="560" w:lineRule="exact"/>
        <w:ind w:firstLine="482" w:firstLineChars="15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（一）因公出国（境）费：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预算数0.00元，决算数0.00元，预决算差异率0%，差异主要原因:近两年单位无出国考察、培训等安排。与上年相比无变动；</w:t>
      </w:r>
    </w:p>
    <w:p w14:paraId="1B9259F4">
      <w:pPr>
        <w:pStyle w:val="10"/>
        <w:spacing w:line="560" w:lineRule="exact"/>
        <w:ind w:firstLine="472" w:firstLineChars="147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（二）公务用车购置：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预算数0万元，决算数0万元，预决算差异率0%，差异主要原因:未安排公务用车购置费。与上年相比无变动；</w:t>
      </w:r>
    </w:p>
    <w:p w14:paraId="4355A0EA">
      <w:pPr>
        <w:pStyle w:val="10"/>
        <w:spacing w:line="560" w:lineRule="exact"/>
        <w:ind w:firstLine="482" w:firstLineChars="15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（三）公务用车运行费：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预算数1193.74万元，决算数1189.2万元，预决算差异率-0.38%，差异主要原因: 各部门单位严格控制和降低行政运行成本，遵守公务车辆配置标准和管理制度，减少使用高耗油车辆，严禁公车私用。与上年相比增加40.52万元，增长3.51%，增长主要原因为支付以前年度维修等费用；</w:t>
      </w:r>
    </w:p>
    <w:p w14:paraId="548D56B1">
      <w:pPr>
        <w:pStyle w:val="10"/>
        <w:tabs>
          <w:tab w:val="left" w:pos="567"/>
        </w:tabs>
        <w:spacing w:line="560" w:lineRule="exact"/>
        <w:ind w:firstLine="482" w:firstLineChars="15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（四）公务接待费：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预算数50.68万元，决算数47.8万元，预决算差异率-5.68%，差异主要原因: 各部门单位严把监督检查关，对接待费严格控制，减少一切不必要的公务接待开支。大力压缩 “三公”</w:t>
      </w:r>
      <w:bookmarkStart w:id="0" w:name="_GoBack"/>
      <w:bookmarkEnd w:id="0"/>
      <w:r>
        <w:rPr>
          <w:rFonts w:hint="eastAsia" w:ascii="仿宋_GB2312" w:eastAsia="仿宋_GB2312" w:hAnsiTheme="minorEastAsia" w:cstheme="minorEastAsia"/>
          <w:sz w:val="32"/>
          <w:szCs w:val="32"/>
        </w:rPr>
        <w:t>经费支出规模。与上年相比减少35万元，下降40.85%，主要原因为各部门单位严把监督检查关，对接待费严格控制，减少一切不必要的公务接待开支；</w:t>
      </w:r>
    </w:p>
    <w:p w14:paraId="06062ABB">
      <w:pPr>
        <w:pStyle w:val="10"/>
        <w:spacing w:line="560" w:lineRule="exact"/>
        <w:ind w:firstLine="640" w:firstLineChars="200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>2022年度，鄯善县因公出国（境）0个团组，因公出国（境）0人次;公务用车购置0辆；公务用车保有量474辆；国内公务接待629批次，其中：外事接待0批次，国内公务接待5486人次，其中：外事接待0人次；国（境）外公务接待0批次；国（境）外公务接待0人次。</w:t>
      </w:r>
    </w:p>
    <w:p w14:paraId="61A43F92">
      <w:pPr>
        <w:pStyle w:val="10"/>
        <w:spacing w:line="560" w:lineRule="exact"/>
        <w:ind w:firstLine="320" w:firstLineChars="100"/>
        <w:rPr>
          <w:rFonts w:hAnsi="黑体"/>
          <w:sz w:val="32"/>
          <w:szCs w:val="32"/>
        </w:rPr>
      </w:pPr>
      <w:r>
        <w:rPr>
          <w:rFonts w:hint="eastAsia" w:hAnsi="黑体"/>
          <w:sz w:val="32"/>
          <w:szCs w:val="32"/>
        </w:rPr>
        <w:t>四、名词解释</w:t>
      </w:r>
    </w:p>
    <w:p w14:paraId="4B6C82FB">
      <w:pPr>
        <w:pStyle w:val="10"/>
        <w:tabs>
          <w:tab w:val="left" w:pos="567"/>
        </w:tabs>
        <w:spacing w:line="560" w:lineRule="exact"/>
        <w:ind w:firstLine="472" w:firstLineChars="147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（一）因公出国（境）费：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反映单位公务出国（境）的国际旅费、国外城市间交通费、住宿费、伙食费、培训费、公杂费等支出。</w:t>
      </w:r>
    </w:p>
    <w:p w14:paraId="6415222B">
      <w:pPr>
        <w:pStyle w:val="10"/>
        <w:spacing w:line="560" w:lineRule="exact"/>
        <w:ind w:firstLine="472" w:firstLineChars="147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（二）公务用车购置及运行维护费：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公务用车购置反映公务用车车辆购置支出（含车辆购置税、牌照费）；公务用车运行维护费反映部门单位按规定保留的公务用车燃料费、维修费、过桥过路费、保险费、安全奖励费用等支出。</w:t>
      </w:r>
    </w:p>
    <w:p w14:paraId="3DC795D3">
      <w:pPr>
        <w:pStyle w:val="10"/>
        <w:spacing w:line="560" w:lineRule="exact"/>
        <w:ind w:firstLine="472" w:firstLineChars="147"/>
        <w:jc w:val="both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楷体_GB2312" w:hAnsi="Times New Roman" w:eastAsia="楷体_GB2312" w:cs="Times New Roman"/>
          <w:b/>
          <w:bCs/>
          <w:color w:val="auto"/>
          <w:kern w:val="2"/>
          <w:sz w:val="32"/>
          <w:szCs w:val="32"/>
        </w:rPr>
        <w:t>（三）公务接待费用：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反映单位按规定开支的各类公务接待（含外宾接待）费用。</w:t>
      </w:r>
    </w:p>
    <w:p w14:paraId="7E20B251">
      <w:pPr>
        <w:pStyle w:val="10"/>
        <w:spacing w:line="560" w:lineRule="exact"/>
        <w:ind w:firstLine="560" w:firstLineChars="200"/>
        <w:jc w:val="both"/>
        <w:rPr>
          <w:rFonts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</w:t>
      </w:r>
    </w:p>
    <w:p w14:paraId="3D276764">
      <w:pPr>
        <w:pStyle w:val="10"/>
        <w:spacing w:line="560" w:lineRule="exact"/>
        <w:ind w:firstLine="640" w:firstLineChars="200"/>
        <w:jc w:val="right"/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QxMWY0NWUwZjRjOGE4OGJiZDVkN2I3YmI3YjVhNTQifQ=="/>
  </w:docVars>
  <w:rsids>
    <w:rsidRoot w:val="000C637F"/>
    <w:rsid w:val="00005A35"/>
    <w:rsid w:val="000533F5"/>
    <w:rsid w:val="000767C3"/>
    <w:rsid w:val="000B5BD2"/>
    <w:rsid w:val="000C637F"/>
    <w:rsid w:val="001106AE"/>
    <w:rsid w:val="001621AC"/>
    <w:rsid w:val="00187196"/>
    <w:rsid w:val="001B0FE3"/>
    <w:rsid w:val="001C07BD"/>
    <w:rsid w:val="001C15C9"/>
    <w:rsid w:val="001F2864"/>
    <w:rsid w:val="002162B9"/>
    <w:rsid w:val="00252F39"/>
    <w:rsid w:val="00257DEA"/>
    <w:rsid w:val="00275DE4"/>
    <w:rsid w:val="002D7646"/>
    <w:rsid w:val="00311E9B"/>
    <w:rsid w:val="00320A53"/>
    <w:rsid w:val="00341CAD"/>
    <w:rsid w:val="00356DC2"/>
    <w:rsid w:val="003D154E"/>
    <w:rsid w:val="00436B8A"/>
    <w:rsid w:val="004E478B"/>
    <w:rsid w:val="00512464"/>
    <w:rsid w:val="005335F4"/>
    <w:rsid w:val="005444F0"/>
    <w:rsid w:val="00545A3B"/>
    <w:rsid w:val="0055048E"/>
    <w:rsid w:val="005747DA"/>
    <w:rsid w:val="00664109"/>
    <w:rsid w:val="006B4170"/>
    <w:rsid w:val="0070479F"/>
    <w:rsid w:val="007A33B8"/>
    <w:rsid w:val="007A581A"/>
    <w:rsid w:val="00840001"/>
    <w:rsid w:val="00880467"/>
    <w:rsid w:val="00894C17"/>
    <w:rsid w:val="008A3498"/>
    <w:rsid w:val="008F2F10"/>
    <w:rsid w:val="009077E2"/>
    <w:rsid w:val="009933D4"/>
    <w:rsid w:val="009D3909"/>
    <w:rsid w:val="009E37FA"/>
    <w:rsid w:val="00AC1498"/>
    <w:rsid w:val="00AD3346"/>
    <w:rsid w:val="00B0785A"/>
    <w:rsid w:val="00B22122"/>
    <w:rsid w:val="00B84A51"/>
    <w:rsid w:val="00BC42A3"/>
    <w:rsid w:val="00BD3CD1"/>
    <w:rsid w:val="00BE1BA5"/>
    <w:rsid w:val="00C30A49"/>
    <w:rsid w:val="00C6703F"/>
    <w:rsid w:val="00CB41CF"/>
    <w:rsid w:val="00CB7508"/>
    <w:rsid w:val="00CC3A3E"/>
    <w:rsid w:val="00CE046D"/>
    <w:rsid w:val="00CF4581"/>
    <w:rsid w:val="00D46341"/>
    <w:rsid w:val="00D5395A"/>
    <w:rsid w:val="00D902A2"/>
    <w:rsid w:val="00DA5EDD"/>
    <w:rsid w:val="00DC6821"/>
    <w:rsid w:val="00DE1BDA"/>
    <w:rsid w:val="00E410A3"/>
    <w:rsid w:val="00E47F54"/>
    <w:rsid w:val="00EB2A23"/>
    <w:rsid w:val="00EB7787"/>
    <w:rsid w:val="00EE0990"/>
    <w:rsid w:val="00EE279D"/>
    <w:rsid w:val="00F543E9"/>
    <w:rsid w:val="00FC3F24"/>
    <w:rsid w:val="0F4062D3"/>
    <w:rsid w:val="10C42043"/>
    <w:rsid w:val="11556984"/>
    <w:rsid w:val="13530EEF"/>
    <w:rsid w:val="31C93A62"/>
    <w:rsid w:val="35C661CB"/>
    <w:rsid w:val="50B7407B"/>
    <w:rsid w:val="66D165FA"/>
    <w:rsid w:val="6BE2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11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237</Words>
  <Characters>1356</Characters>
  <Lines>11</Lines>
  <Paragraphs>3</Paragraphs>
  <TotalTime>0</TotalTime>
  <ScaleCrop>false</ScaleCrop>
  <LinksUpToDate>false</LinksUpToDate>
  <CharactersWithSpaces>1590</CharactersWithSpaces>
  <Application>WPS Office_12.8.2.17148_F1E327BC-269C-435d-A152-05C5408002CA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2022-03-28T05:13:00Z</dcterms:created>
  <dc:creator>lenovo</dc:creator>
  <cp:lastModifiedBy>Administrator</cp:lastModifiedBy>
  <dcterms:modified xsi:type="dcterms:W3CDTF">2024-12-16T04:36:08Z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2052-12.8.2.17148</vt:lpwstr>
  </property>
  <property fmtid="{D5CDD505-2E9C-101B-9397-08002B2CF9AE}" pid="3" name="ICV">
    <vt:lpwstr>59C43C95163E49E1856E6E321844071A</vt:lpwstr>
  </property>
</Properties>
</file>