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lang w:eastAsia="zh-CN"/>
        </w:rPr>
      </w:pPr>
      <w:bookmarkStart w:id="0" w:name="_GoBack"/>
      <w:bookmarkEnd w:id="0"/>
      <w:r>
        <w:rPr>
          <w:rFonts w:hint="eastAsia" w:ascii="黑体" w:hAnsi="黑体" w:eastAsia="黑体" w:cs="黑体"/>
          <w:sz w:val="32"/>
          <w:szCs w:val="32"/>
        </w:rPr>
        <w:t>附件1：出让</w:t>
      </w:r>
      <w:r>
        <w:rPr>
          <w:rFonts w:hint="eastAsia" w:ascii="黑体" w:hAnsi="黑体" w:eastAsia="黑体" w:cs="黑体"/>
          <w:sz w:val="32"/>
          <w:szCs w:val="32"/>
          <w:lang w:val="en-US" w:eastAsia="zh-CN"/>
        </w:rPr>
        <w:t>采</w:t>
      </w:r>
      <w:r>
        <w:rPr>
          <w:rFonts w:hint="eastAsia" w:ascii="黑体" w:hAnsi="黑体" w:eastAsia="黑体" w:cs="黑体"/>
          <w:sz w:val="32"/>
          <w:szCs w:val="32"/>
        </w:rPr>
        <w:t>矿权基本情况表（</w:t>
      </w:r>
      <w:r>
        <w:rPr>
          <w:rFonts w:hint="eastAsia" w:ascii="黑体" w:hAnsi="黑体" w:eastAsia="黑体" w:cs="黑体"/>
          <w:sz w:val="32"/>
          <w:szCs w:val="32"/>
          <w:lang w:val="en-US" w:eastAsia="zh-CN"/>
        </w:rPr>
        <w:t>鄯</w:t>
      </w:r>
      <w:r>
        <w:rPr>
          <w:rFonts w:hint="eastAsia" w:ascii="黑体" w:hAnsi="黑体" w:eastAsia="黑体" w:cs="黑体"/>
          <w:sz w:val="32"/>
          <w:szCs w:val="32"/>
        </w:rPr>
        <w:t>矿告字〔202</w:t>
      </w:r>
      <w:r>
        <w:rPr>
          <w:rFonts w:hint="eastAsia" w:ascii="黑体" w:hAnsi="黑体" w:eastAsia="黑体" w:cs="黑体"/>
          <w:sz w:val="32"/>
          <w:szCs w:val="32"/>
          <w:lang w:val="en-US" w:eastAsia="zh-CN"/>
        </w:rPr>
        <w:t>4</w:t>
      </w:r>
      <w:r>
        <w:rPr>
          <w:rFonts w:hint="eastAsia" w:ascii="黑体" w:hAnsi="黑体" w:eastAsia="黑体" w:cs="黑体"/>
          <w:sz w:val="32"/>
          <w:szCs w:val="32"/>
        </w:rPr>
        <w:t>〕</w:t>
      </w:r>
      <w:r>
        <w:rPr>
          <w:rFonts w:hint="eastAsia" w:ascii="黑体" w:hAnsi="黑体" w:eastAsia="黑体" w:cs="黑体"/>
          <w:sz w:val="32"/>
          <w:szCs w:val="32"/>
          <w:lang w:val="en-US" w:eastAsia="zh-CN"/>
        </w:rPr>
        <w:t>1</w:t>
      </w:r>
      <w:r>
        <w:rPr>
          <w:rFonts w:hint="eastAsia" w:ascii="黑体" w:hAnsi="黑体" w:eastAsia="黑体" w:cs="黑体"/>
          <w:sz w:val="32"/>
          <w:szCs w:val="32"/>
        </w:rPr>
        <w:t>号</w:t>
      </w:r>
      <w:r>
        <w:rPr>
          <w:rFonts w:hint="eastAsia" w:ascii="黑体" w:hAnsi="黑体" w:eastAsia="黑体" w:cs="黑体"/>
          <w:sz w:val="32"/>
          <w:szCs w:val="32"/>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（一）新疆鄯善县园艺场建筑用砂矿</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（1）出让矿种：建筑用砂矿</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（2）地理位置：矿区位于鄯善县北东64°方位，直线距离约9.6千米，行政区划隶属于鄯善县管辖，中心地理坐标：东经90°19′03″，北纬42°54′23″。</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（3）矿区面积：0.1598平方千米</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rPr>
        <w:t>（4）出让资源储量：103.09万立方米</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rPr>
      </w:pPr>
      <w:r>
        <w:rPr>
          <w:rFonts w:hint="eastAsia" w:ascii="仿宋" w:hAnsi="仿宋" w:eastAsia="仿宋" w:cs="仿宋"/>
          <w:kern w:val="0"/>
          <w:sz w:val="32"/>
          <w:szCs w:val="32"/>
          <w:lang w:val="en-US" w:eastAsia="zh-CN"/>
        </w:rPr>
        <w:t>（5）拟定生产规模：10万立方米/年</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（6）拟开采标高：最高382米，最低368米</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仿宋" w:hAnsi="仿宋" w:eastAsia="仿宋" w:cs="仿宋"/>
          <w:kern w:val="0"/>
          <w:sz w:val="32"/>
          <w:szCs w:val="32"/>
          <w:lang w:val="en-US"/>
        </w:rPr>
      </w:pPr>
      <w:r>
        <w:rPr>
          <w:rFonts w:hint="eastAsia" w:ascii="仿宋" w:hAnsi="仿宋" w:eastAsia="仿宋" w:cs="仿宋"/>
          <w:kern w:val="0"/>
          <w:sz w:val="32"/>
          <w:szCs w:val="32"/>
          <w:lang w:val="en-US" w:eastAsia="zh-CN"/>
        </w:rPr>
        <w:t>（7）拟出让年限：10年</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lang w:val="en-US" w:eastAsia="zh-CN"/>
        </w:rPr>
        <w:t>（8）出让起始价(人民</w:t>
      </w:r>
      <w:r>
        <w:rPr>
          <w:rFonts w:hint="eastAsia" w:ascii="仿宋" w:hAnsi="仿宋" w:eastAsia="仿宋" w:cs="仿宋"/>
          <w:kern w:val="0"/>
          <w:sz w:val="32"/>
          <w:szCs w:val="32"/>
          <w:u w:val="none"/>
          <w:lang w:val="en-US" w:eastAsia="zh-CN"/>
        </w:rPr>
        <w:t>币)：160万元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仿宋" w:hAnsi="仿宋" w:eastAsia="仿宋" w:cs="仿宋"/>
          <w:kern w:val="0"/>
          <w:sz w:val="32"/>
          <w:szCs w:val="32"/>
          <w:u w:val="none"/>
          <w:lang w:val="en-US"/>
        </w:rPr>
      </w:pPr>
      <w:r>
        <w:rPr>
          <w:rFonts w:hint="eastAsia" w:ascii="仿宋" w:hAnsi="仿宋" w:eastAsia="仿宋" w:cs="仿宋"/>
          <w:kern w:val="0"/>
          <w:sz w:val="32"/>
          <w:szCs w:val="32"/>
          <w:u w:val="none"/>
          <w:lang w:val="en-US" w:eastAsia="zh-CN"/>
        </w:rPr>
        <w:t>（9）竞买保证金或保函：160万元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（10）增价幅度(人民币)：8万元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u w:val="none"/>
          <w:lang w:val="zh-CN"/>
        </w:rPr>
      </w:pPr>
      <w:r>
        <w:rPr>
          <w:rFonts w:hint="eastAsia" w:ascii="仿宋" w:hAnsi="仿宋" w:eastAsia="仿宋" w:cs="仿宋"/>
          <w:kern w:val="0"/>
          <w:sz w:val="32"/>
          <w:szCs w:val="32"/>
          <w:u w:val="none"/>
          <w:lang w:val="en-US" w:eastAsia="zh-CN"/>
        </w:rPr>
        <w:t>（11）矿区拐点坐标：</w:t>
      </w:r>
    </w:p>
    <w:tbl>
      <w:tblPr>
        <w:tblStyle w:val="10"/>
        <w:tblW w:w="8238"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200"/>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
              </w:rPr>
              <w:t>拐点</w:t>
            </w:r>
          </w:p>
        </w:tc>
        <w:tc>
          <w:tcPr>
            <w:tcW w:w="686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
              </w:rPr>
              <w:t>2000大地坐标系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rPr>
                <w:rFonts w:hint="eastAsia" w:ascii="仿宋" w:hAnsi="仿宋" w:eastAsia="仿宋" w:cs="仿宋"/>
                <w:color w:val="333333"/>
                <w:sz w:val="24"/>
                <w:szCs w:val="24"/>
              </w:rPr>
            </w:pPr>
          </w:p>
        </w:tc>
        <w:tc>
          <w:tcPr>
            <w:tcW w:w="3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
              </w:rPr>
              <w:t>X</w:t>
            </w:r>
          </w:p>
        </w:tc>
        <w:tc>
          <w:tcPr>
            <w:tcW w:w="36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center"/>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
              </w:rPr>
              <w:t>1</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 xml:space="preserve">4752702.635 </w:t>
            </w:r>
          </w:p>
        </w:tc>
        <w:tc>
          <w:tcPr>
            <w:tcW w:w="3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 xml:space="preserve">30525899.931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center"/>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
              </w:rPr>
              <w:t>2</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 xml:space="preserve">4752572.195 </w:t>
            </w:r>
          </w:p>
        </w:tc>
        <w:tc>
          <w:tcPr>
            <w:tcW w:w="3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 xml:space="preserve">30526217.167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center"/>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
              </w:rPr>
              <w:t>3</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 xml:space="preserve">4752028.171 </w:t>
            </w:r>
          </w:p>
        </w:tc>
        <w:tc>
          <w:tcPr>
            <w:tcW w:w="3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 xml:space="preserve">30525858.325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center"/>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bidi="ar"/>
              </w:rPr>
              <w:t>4</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 xml:space="preserve">4752145.646 </w:t>
            </w:r>
          </w:p>
        </w:tc>
        <w:tc>
          <w:tcPr>
            <w:tcW w:w="3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 xml:space="preserve">30525691.637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center"/>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5</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 xml:space="preserve">4752275.821 </w:t>
            </w:r>
          </w:p>
        </w:tc>
        <w:tc>
          <w:tcPr>
            <w:tcW w:w="3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 xml:space="preserve">30525763.075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center"/>
              <w:rPr>
                <w:rFonts w:hint="eastAsia" w:ascii="仿宋" w:hAnsi="仿宋" w:eastAsia="仿宋" w:cs="仿宋"/>
                <w:color w:val="333333"/>
                <w:kern w:val="0"/>
                <w:sz w:val="24"/>
                <w:szCs w:val="24"/>
                <w:lang w:val="en-US" w:eastAsia="zh-CN" w:bidi="ar"/>
              </w:rPr>
            </w:pPr>
            <w:r>
              <w:rPr>
                <w:rFonts w:hint="eastAsia" w:ascii="仿宋" w:hAnsi="仿宋" w:eastAsia="仿宋" w:cs="仿宋"/>
                <w:color w:val="333333"/>
                <w:kern w:val="0"/>
                <w:sz w:val="24"/>
                <w:szCs w:val="24"/>
                <w:lang w:val="en-US" w:eastAsia="zh-CN" w:bidi="ar"/>
              </w:rPr>
              <w:t>6</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 xml:space="preserve">4752496.484 </w:t>
            </w:r>
          </w:p>
        </w:tc>
        <w:tc>
          <w:tcPr>
            <w:tcW w:w="3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highlight w:val="none"/>
                <w:lang w:val="en-US" w:eastAsia="zh-CN"/>
              </w:rPr>
              <w:t xml:space="preserve">30525844.038 </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拟出让的砂石矿矿区范围不在现有各类自然保护区及生态红线区内。</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0"/>
        <w:rPr>
          <w:rFonts w:hint="eastAsia" w:ascii="仿宋" w:hAnsi="仿宋" w:eastAsia="仿宋" w:cs="仿宋"/>
          <w:b/>
          <w:bCs/>
          <w:kern w:val="0"/>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（二）新疆鄯善县七克台镇黄家坎村建筑用砂矿(2)</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（1）出让矿种：建筑用砂矿</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（2）地理位置：矿区位于鄯善县北东56°方位，直线距离38千米，七克台镇北东40°方位，直线距离距7千米，行政区划隶属于鄯善县管辖，中心地理坐标：东经90°35′40.49″，北纬43°03′33.69″。</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（3）矿区面积：0.1981平方千米</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（4）出让资源储量：103.09万立方米</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（5）拟定生产规模：10万立方米/年</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（6）拟开采标高：最高 557米，最低544米</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（7）拟出让年限：10年</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lang w:val="en-US" w:eastAsia="zh-CN"/>
        </w:rPr>
        <w:t>（8）出让起始价(人</w:t>
      </w:r>
      <w:r>
        <w:rPr>
          <w:rFonts w:hint="eastAsia" w:ascii="仿宋" w:hAnsi="仿宋" w:eastAsia="仿宋" w:cs="仿宋"/>
          <w:kern w:val="0"/>
          <w:sz w:val="32"/>
          <w:szCs w:val="32"/>
          <w:u w:val="none"/>
          <w:lang w:val="en-US" w:eastAsia="zh-CN"/>
        </w:rPr>
        <w:t>民币)：163万元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（9）竞买保证金或保函：163万元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u w:val="none"/>
          <w:lang w:val="en-US" w:eastAsia="zh-CN"/>
        </w:rPr>
      </w:pPr>
      <w:r>
        <w:rPr>
          <w:rFonts w:hint="eastAsia" w:ascii="仿宋" w:hAnsi="仿宋" w:eastAsia="仿宋" w:cs="仿宋"/>
          <w:kern w:val="0"/>
          <w:sz w:val="32"/>
          <w:szCs w:val="32"/>
          <w:u w:val="none"/>
          <w:lang w:val="en-US" w:eastAsia="zh-CN"/>
        </w:rPr>
        <w:t>（10）增价幅度(人民币)：8万元</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（11）矿区拐点坐标：</w:t>
      </w:r>
    </w:p>
    <w:tbl>
      <w:tblPr>
        <w:tblStyle w:val="10"/>
        <w:tblW w:w="8238"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200"/>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3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olor w:val="333333"/>
                <w:kern w:val="0"/>
                <w:sz w:val="30"/>
                <w:szCs w:val="30"/>
                <w:lang w:val="en-US" w:eastAsia="zh-CN" w:bidi="ar"/>
              </w:rPr>
              <w:t>拐点</w:t>
            </w:r>
          </w:p>
        </w:tc>
        <w:tc>
          <w:tcPr>
            <w:tcW w:w="686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olor w:val="333333"/>
                <w:kern w:val="0"/>
                <w:sz w:val="30"/>
                <w:szCs w:val="30"/>
                <w:lang w:val="en-US" w:eastAsia="zh-CN" w:bidi="ar"/>
              </w:rPr>
              <w:t>2000大地坐标系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20" w:lineRule="exact"/>
              <w:rPr>
                <w:rFonts w:hint="eastAsia" w:ascii="仿宋_GB2312" w:hAnsi="仿宋_GB2312" w:eastAsia="仿宋_GB2312" w:cs="仿宋_GB2312"/>
                <w:color w:val="333333"/>
                <w:sz w:val="30"/>
                <w:szCs w:val="30"/>
              </w:rPr>
            </w:pPr>
          </w:p>
        </w:tc>
        <w:tc>
          <w:tcPr>
            <w:tcW w:w="3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olor w:val="333333"/>
                <w:kern w:val="0"/>
                <w:sz w:val="30"/>
                <w:szCs w:val="30"/>
                <w:lang w:val="en-US" w:eastAsia="zh-CN" w:bidi="ar"/>
              </w:rPr>
              <w:t>X</w:t>
            </w:r>
          </w:p>
        </w:tc>
        <w:tc>
          <w:tcPr>
            <w:tcW w:w="36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rPr>
                <w:rFonts w:hint="eastAsia" w:ascii="仿宋_GB2312" w:hAnsi="仿宋_GB2312" w:eastAsia="仿宋_GB2312" w:cs="仿宋_GB2312"/>
                <w:sz w:val="30"/>
                <w:szCs w:val="30"/>
              </w:rPr>
            </w:pPr>
            <w:r>
              <w:rPr>
                <w:rFonts w:hint="eastAsia" w:ascii="仿宋_GB2312" w:hAnsi="仿宋_GB2312" w:eastAsia="仿宋_GB2312" w:cs="仿宋_GB2312"/>
                <w:color w:val="333333"/>
                <w:kern w:val="0"/>
                <w:sz w:val="30"/>
                <w:szCs w:val="30"/>
                <w:lang w:val="en-US" w:eastAsia="zh-CN" w:bidi="a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color w:val="333333"/>
                <w:kern w:val="0"/>
                <w:sz w:val="30"/>
                <w:szCs w:val="30"/>
                <w:lang w:val="en-US" w:eastAsia="zh-CN" w:bidi="ar"/>
              </w:rPr>
              <w:t>1</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4769417.790 </w:t>
            </w:r>
          </w:p>
        </w:tc>
        <w:tc>
          <w:tcPr>
            <w:tcW w:w="3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30548150.583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color w:val="333333"/>
                <w:kern w:val="0"/>
                <w:sz w:val="30"/>
                <w:szCs w:val="30"/>
                <w:lang w:val="en-US" w:eastAsia="zh-CN" w:bidi="ar"/>
              </w:rPr>
              <w:t>2</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4769799.598 </w:t>
            </w:r>
          </w:p>
        </w:tc>
        <w:tc>
          <w:tcPr>
            <w:tcW w:w="3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30548380.283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color w:val="333333"/>
                <w:kern w:val="0"/>
                <w:sz w:val="30"/>
                <w:szCs w:val="30"/>
                <w:lang w:val="en-US" w:eastAsia="zh-CN" w:bidi="ar"/>
              </w:rPr>
              <w:t>3</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4769547.635 </w:t>
            </w:r>
          </w:p>
        </w:tc>
        <w:tc>
          <w:tcPr>
            <w:tcW w:w="3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30548735.757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right="0"/>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color w:val="333333"/>
                <w:kern w:val="0"/>
                <w:sz w:val="30"/>
                <w:szCs w:val="30"/>
                <w:lang w:val="en-US" w:eastAsia="zh-CN" w:bidi="ar"/>
              </w:rPr>
              <w:t>4</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4769142.318 </w:t>
            </w:r>
          </w:p>
        </w:tc>
        <w:tc>
          <w:tcPr>
            <w:tcW w:w="36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 xml:space="preserve">30548468.947 </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注：①</w:t>
      </w:r>
      <w:r>
        <w:rPr>
          <w:rFonts w:hint="eastAsia" w:ascii="仿宋" w:hAnsi="仿宋" w:eastAsia="仿宋" w:cs="仿宋"/>
          <w:kern w:val="0"/>
          <w:sz w:val="32"/>
          <w:szCs w:val="32"/>
          <w:lang w:val="zh-CN" w:eastAsia="zh-CN"/>
        </w:rPr>
        <w:t>竞买保证金</w:t>
      </w:r>
      <w:r>
        <w:rPr>
          <w:rFonts w:hint="eastAsia" w:ascii="仿宋" w:hAnsi="仿宋" w:eastAsia="仿宋" w:cs="仿宋"/>
          <w:kern w:val="0"/>
          <w:sz w:val="32"/>
          <w:szCs w:val="32"/>
          <w:lang w:val="en-US" w:eastAsia="zh-CN"/>
        </w:rPr>
        <w:t>或保函（单）的金额以自治区自然资源厅《关于印发〈新疆维吾尔自治区矿产资源管理若干事项暂行办法〉的通知》（新自然资规〔2021〕1号）中“矿业权出让收益低于500万元（含）的，须在矿业权登记前一次性缴纳”为依据，综合考虑竞价因素后确定。竞买保证金或保函的提交手续须在报名截止日期前办理完毕。</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②增价幅度参照全疆采矿权挂牌出让惯例，按拟出让采矿权出让底价的5%设定，综合考虑竞价因素后确定。</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③资源开发利用情况：竞买人在竞得采矿权后，严格按照经评审通过的《矿产资源开发利用与生态保护修复方案》实施开采，并依法履行相关义务。</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④最终成交的采矿权范围拐点坐标、面积及出让年限等以与鄯善县自然资源局签订出让合同中确定的为准。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sz w:val="28"/>
          <w:szCs w:val="28"/>
        </w:rPr>
      </w:pP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A7010"/>
    <w:multiLevelType w:val="singleLevel"/>
    <w:tmpl w:val="F85A7010"/>
    <w:lvl w:ilvl="0" w:tentative="0">
      <w:start w:val="1"/>
      <w:numFmt w:val="decimal"/>
      <w:pStyle w:val="6"/>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ZmY2Yjc2Mjk3ZjZmZmUxMWQ3NzJkY2JmYmNkMTUifQ=="/>
  </w:docVars>
  <w:rsids>
    <w:rsidRoot w:val="7C650708"/>
    <w:rsid w:val="0001728C"/>
    <w:rsid w:val="00031270"/>
    <w:rsid w:val="002963B2"/>
    <w:rsid w:val="00335CCA"/>
    <w:rsid w:val="00474960"/>
    <w:rsid w:val="004D6548"/>
    <w:rsid w:val="0055701D"/>
    <w:rsid w:val="005A7463"/>
    <w:rsid w:val="005B3CEA"/>
    <w:rsid w:val="00810BBE"/>
    <w:rsid w:val="008E6EBF"/>
    <w:rsid w:val="00934852"/>
    <w:rsid w:val="00A6546C"/>
    <w:rsid w:val="00DB7350"/>
    <w:rsid w:val="00E61E6C"/>
    <w:rsid w:val="00FF53C1"/>
    <w:rsid w:val="038A1329"/>
    <w:rsid w:val="0C0D2B91"/>
    <w:rsid w:val="1087445F"/>
    <w:rsid w:val="10CB1269"/>
    <w:rsid w:val="179F5A0C"/>
    <w:rsid w:val="190A53CF"/>
    <w:rsid w:val="199209CE"/>
    <w:rsid w:val="19A83D92"/>
    <w:rsid w:val="1AF143A0"/>
    <w:rsid w:val="1B40632C"/>
    <w:rsid w:val="1E6D0BEC"/>
    <w:rsid w:val="226A50EF"/>
    <w:rsid w:val="271B02CD"/>
    <w:rsid w:val="30051D10"/>
    <w:rsid w:val="31860981"/>
    <w:rsid w:val="31E42105"/>
    <w:rsid w:val="38E17869"/>
    <w:rsid w:val="3E712B9E"/>
    <w:rsid w:val="43C21B52"/>
    <w:rsid w:val="49262F5F"/>
    <w:rsid w:val="514F66C5"/>
    <w:rsid w:val="52360A1C"/>
    <w:rsid w:val="5380337B"/>
    <w:rsid w:val="56C520AC"/>
    <w:rsid w:val="5A9B1124"/>
    <w:rsid w:val="5CE9207B"/>
    <w:rsid w:val="5F3C4E0D"/>
    <w:rsid w:val="5F872A71"/>
    <w:rsid w:val="61857757"/>
    <w:rsid w:val="689B1328"/>
    <w:rsid w:val="70936635"/>
    <w:rsid w:val="74D55A5F"/>
    <w:rsid w:val="77232184"/>
    <w:rsid w:val="7760018E"/>
    <w:rsid w:val="7C65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uiPriority w:val="0"/>
    <w:pPr>
      <w:jc w:val="center"/>
    </w:pPr>
    <w:rPr>
      <w:b/>
      <w:bCs/>
      <w:sz w:val="44"/>
      <w:szCs w:val="20"/>
    </w:rPr>
  </w:style>
  <w:style w:type="paragraph" w:customStyle="1" w:styleId="3">
    <w:name w:val="Default"/>
    <w:basedOn w:val="1"/>
    <w:qFormat/>
    <w:uiPriority w:val="0"/>
    <w:pPr>
      <w:autoSpaceDE w:val="0"/>
      <w:autoSpaceDN w:val="0"/>
      <w:adjustRightInd w:val="0"/>
      <w:jc w:val="left"/>
    </w:pPr>
    <w:rPr>
      <w:color w:val="000000"/>
      <w:kern w:val="0"/>
      <w:sz w:val="24"/>
      <w:szCs w:val="24"/>
    </w:rPr>
  </w:style>
  <w:style w:type="paragraph" w:styleId="4">
    <w:name w:val="Body Text Indent"/>
    <w:basedOn w:val="1"/>
    <w:autoRedefine/>
    <w:unhideWhenUsed/>
    <w:qFormat/>
    <w:uiPriority w:val="99"/>
    <w:pPr>
      <w:spacing w:after="120"/>
      <w:ind w:left="420" w:leftChars="200"/>
    </w:pPr>
  </w:style>
  <w:style w:type="paragraph" w:styleId="5">
    <w:name w:val="Plain Text"/>
    <w:basedOn w:val="1"/>
    <w:next w:val="6"/>
    <w:autoRedefine/>
    <w:qFormat/>
    <w:uiPriority w:val="0"/>
    <w:pPr>
      <w:autoSpaceDE w:val="0"/>
      <w:autoSpaceDN w:val="0"/>
      <w:jc w:val="left"/>
    </w:pPr>
    <w:rPr>
      <w:rFonts w:ascii="宋体" w:cs="宋体"/>
      <w:sz w:val="22"/>
      <w:szCs w:val="21"/>
    </w:rPr>
  </w:style>
  <w:style w:type="paragraph" w:styleId="6">
    <w:name w:val="List Number 5"/>
    <w:basedOn w:val="1"/>
    <w:autoRedefine/>
    <w:qFormat/>
    <w:uiPriority w:val="0"/>
    <w:pPr>
      <w:numPr>
        <w:ilvl w:val="0"/>
        <w:numId w:val="1"/>
      </w:numPr>
    </w:p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autoRedefine/>
    <w:unhideWhenUsed/>
    <w:qFormat/>
    <w:uiPriority w:val="99"/>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Char"/>
    <w:basedOn w:val="12"/>
    <w:link w:val="8"/>
    <w:autoRedefine/>
    <w:qFormat/>
    <w:uiPriority w:val="0"/>
    <w:rPr>
      <w:rFonts w:ascii="Times New Roman" w:hAnsi="Times New Roman" w:eastAsia="宋体" w:cs="Times New Roman"/>
      <w:kern w:val="2"/>
      <w:sz w:val="18"/>
      <w:szCs w:val="18"/>
    </w:rPr>
  </w:style>
  <w:style w:type="character" w:customStyle="1" w:styleId="14">
    <w:name w:val="页脚 Char"/>
    <w:basedOn w:val="12"/>
    <w:link w:val="7"/>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329</Words>
  <Characters>1880</Characters>
  <Lines>15</Lines>
  <Paragraphs>4</Paragraphs>
  <TotalTime>3</TotalTime>
  <ScaleCrop>false</ScaleCrop>
  <LinksUpToDate>false</LinksUpToDate>
  <CharactersWithSpaces>2205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2022-11-29T15:28:00Z</dcterms:created>
  <dc:creator>NTKO</dc:creator>
  <cp:lastModifiedBy>张雯</cp:lastModifiedBy>
  <cp:lastPrinted>2024-03-05T08:03:00Z</cp:lastPrinted>
  <dcterms:modified xsi:type="dcterms:W3CDTF">2024-05-09T08:43:16Z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933FBDE774CE4DF4BB2DF62F4F54DADF_13</vt:lpwstr>
  </property>
</Properties>
</file>